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93B7C">
      <w:pPr>
        <w:rPr>
          <w:rFonts w:hint="eastAsia" w:ascii="方正小标宋简体" w:hAnsi="宋体" w:eastAsia="方正小标宋简体"/>
          <w:bCs/>
          <w:color w:val="auto"/>
          <w:sz w:val="32"/>
          <w:szCs w:val="32"/>
        </w:rPr>
      </w:pPr>
      <w:bookmarkStart w:id="0" w:name="_GoBack"/>
      <w:bookmarkEnd w:id="0"/>
      <w:r>
        <w:rPr>
          <w:rFonts w:hint="eastAsia" w:ascii="黑体" w:hAnsi="黑体" w:eastAsia="黑体" w:cs="黑体"/>
          <w:bCs/>
          <w:color w:val="auto"/>
          <w:sz w:val="32"/>
          <w:szCs w:val="32"/>
        </w:rPr>
        <w:t>附件2</w:t>
      </w:r>
    </w:p>
    <w:p w14:paraId="3A682EDB">
      <w:pPr>
        <w:jc w:val="center"/>
        <w:rPr>
          <w:rFonts w:hint="eastAsia" w:ascii="方正小标宋简体" w:hAnsi="宋体" w:eastAsia="方正小标宋简体"/>
          <w:b/>
          <w:bCs w:val="0"/>
          <w:color w:val="auto"/>
          <w:sz w:val="44"/>
          <w:szCs w:val="44"/>
        </w:rPr>
      </w:pPr>
      <w:r>
        <w:rPr>
          <w:rFonts w:hint="eastAsia" w:ascii="方正小标宋简体" w:hAnsi="宋体" w:eastAsia="方正小标宋简体"/>
          <w:b/>
          <w:bCs w:val="0"/>
          <w:color w:val="auto"/>
          <w:sz w:val="44"/>
          <w:szCs w:val="44"/>
        </w:rPr>
        <w:t>企业加分标准</w:t>
      </w:r>
    </w:p>
    <w:tbl>
      <w:tblPr>
        <w:tblStyle w:val="10"/>
        <w:tblW w:w="50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748"/>
        <w:gridCol w:w="1178"/>
        <w:gridCol w:w="3782"/>
        <w:gridCol w:w="1370"/>
        <w:gridCol w:w="783"/>
        <w:gridCol w:w="3091"/>
        <w:gridCol w:w="1061"/>
        <w:gridCol w:w="1763"/>
      </w:tblGrid>
      <w:tr w14:paraId="0E5D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137" w:type="pct"/>
            <w:noWrap w:val="0"/>
            <w:tcMar>
              <w:left w:w="85" w:type="dxa"/>
              <w:right w:w="85" w:type="dxa"/>
            </w:tcMar>
            <w:vAlign w:val="center"/>
          </w:tcPr>
          <w:p w14:paraId="011B0883">
            <w:pPr>
              <w:spacing w:line="240" w:lineRule="exact"/>
              <w:jc w:val="center"/>
              <w:rPr>
                <w:rFonts w:hint="eastAsia" w:ascii="黑体" w:hAnsi="黑体" w:eastAsia="黑体" w:cs="黑体"/>
                <w:b/>
                <w:bCs w:val="0"/>
                <w:color w:val="auto"/>
                <w:szCs w:val="21"/>
              </w:rPr>
            </w:pPr>
            <w:r>
              <w:rPr>
                <w:rFonts w:hint="eastAsia" w:ascii="黑体" w:hAnsi="黑体" w:eastAsia="黑体" w:cs="黑体"/>
                <w:b/>
                <w:bCs w:val="0"/>
                <w:color w:val="auto"/>
                <w:szCs w:val="21"/>
              </w:rPr>
              <w:t>序号</w:t>
            </w:r>
          </w:p>
        </w:tc>
        <w:tc>
          <w:tcPr>
            <w:tcW w:w="263" w:type="pct"/>
            <w:noWrap w:val="0"/>
            <w:tcMar>
              <w:left w:w="85" w:type="dxa"/>
              <w:right w:w="85" w:type="dxa"/>
            </w:tcMar>
            <w:vAlign w:val="center"/>
          </w:tcPr>
          <w:p w14:paraId="5DE3B449">
            <w:pPr>
              <w:spacing w:line="240" w:lineRule="exact"/>
              <w:jc w:val="center"/>
              <w:rPr>
                <w:rFonts w:hint="eastAsia" w:ascii="黑体" w:hAnsi="黑体" w:eastAsia="黑体" w:cs="黑体"/>
                <w:b/>
                <w:bCs w:val="0"/>
                <w:color w:val="auto"/>
                <w:szCs w:val="21"/>
                <w:lang w:val="en-US" w:eastAsia="zh-CN"/>
              </w:rPr>
            </w:pPr>
            <w:r>
              <w:rPr>
                <w:rFonts w:hint="eastAsia" w:ascii="黑体" w:hAnsi="黑体" w:eastAsia="黑体" w:cs="黑体"/>
                <w:b/>
                <w:bCs w:val="0"/>
                <w:color w:val="auto"/>
                <w:szCs w:val="21"/>
                <w:lang w:val="en-US" w:eastAsia="zh-CN"/>
              </w:rPr>
              <w:t>加分</w:t>
            </w:r>
          </w:p>
          <w:p w14:paraId="4DBF8EC7">
            <w:pPr>
              <w:spacing w:line="240" w:lineRule="exact"/>
              <w:jc w:val="center"/>
              <w:rPr>
                <w:rFonts w:hint="eastAsia" w:ascii="黑体" w:hAnsi="黑体" w:eastAsia="黑体" w:cs="黑体"/>
                <w:b/>
                <w:bCs w:val="0"/>
                <w:color w:val="auto"/>
                <w:szCs w:val="21"/>
                <w:lang w:val="en-US" w:eastAsia="zh-CN"/>
              </w:rPr>
            </w:pPr>
            <w:r>
              <w:rPr>
                <w:rFonts w:hint="eastAsia" w:ascii="黑体" w:hAnsi="黑体" w:eastAsia="黑体" w:cs="黑体"/>
                <w:b/>
                <w:bCs w:val="0"/>
                <w:color w:val="auto"/>
                <w:szCs w:val="21"/>
                <w:lang w:val="en-US" w:eastAsia="zh-CN"/>
              </w:rPr>
              <w:t>类型</w:t>
            </w:r>
          </w:p>
        </w:tc>
        <w:tc>
          <w:tcPr>
            <w:tcW w:w="1750" w:type="pct"/>
            <w:gridSpan w:val="2"/>
            <w:noWrap w:val="0"/>
            <w:tcMar>
              <w:left w:w="85" w:type="dxa"/>
              <w:right w:w="85" w:type="dxa"/>
            </w:tcMar>
            <w:vAlign w:val="center"/>
          </w:tcPr>
          <w:p w14:paraId="6A430371">
            <w:pPr>
              <w:spacing w:line="240" w:lineRule="exact"/>
              <w:jc w:val="center"/>
              <w:rPr>
                <w:rFonts w:hint="eastAsia" w:ascii="黑体" w:hAnsi="黑体" w:eastAsia="黑体" w:cs="黑体"/>
                <w:b/>
                <w:bCs w:val="0"/>
                <w:color w:val="auto"/>
                <w:sz w:val="18"/>
                <w:szCs w:val="18"/>
              </w:rPr>
            </w:pPr>
            <w:r>
              <w:rPr>
                <w:rFonts w:hint="eastAsia" w:ascii="黑体" w:hAnsi="黑体" w:eastAsia="黑体" w:cs="黑体"/>
                <w:b/>
                <w:bCs w:val="0"/>
                <w:color w:val="auto"/>
                <w:szCs w:val="21"/>
              </w:rPr>
              <w:t>加分内容</w:t>
            </w:r>
          </w:p>
        </w:tc>
        <w:tc>
          <w:tcPr>
            <w:tcW w:w="483" w:type="pct"/>
            <w:noWrap w:val="0"/>
            <w:tcMar>
              <w:left w:w="85" w:type="dxa"/>
              <w:right w:w="85" w:type="dxa"/>
            </w:tcMar>
            <w:vAlign w:val="center"/>
          </w:tcPr>
          <w:p w14:paraId="21E580F6">
            <w:pPr>
              <w:spacing w:line="240" w:lineRule="exact"/>
              <w:jc w:val="center"/>
              <w:rPr>
                <w:rFonts w:hint="eastAsia" w:ascii="黑体" w:hAnsi="黑体" w:eastAsia="黑体" w:cs="黑体"/>
                <w:b/>
                <w:bCs w:val="0"/>
                <w:color w:val="auto"/>
                <w:sz w:val="18"/>
                <w:szCs w:val="18"/>
              </w:rPr>
            </w:pPr>
            <w:r>
              <w:rPr>
                <w:rFonts w:hint="eastAsia" w:ascii="黑体" w:hAnsi="黑体" w:eastAsia="黑体" w:cs="黑体"/>
                <w:b/>
                <w:bCs w:val="0"/>
                <w:color w:val="auto"/>
                <w:szCs w:val="21"/>
              </w:rPr>
              <w:t>加分</w:t>
            </w:r>
            <w:r>
              <w:rPr>
                <w:rFonts w:hint="eastAsia" w:ascii="黑体" w:hAnsi="黑体" w:eastAsia="黑体" w:cs="黑体"/>
                <w:b/>
                <w:bCs w:val="0"/>
                <w:color w:val="auto"/>
                <w:szCs w:val="21"/>
                <w:lang w:eastAsia="zh-CN"/>
              </w:rPr>
              <w:t>分</w:t>
            </w:r>
            <w:r>
              <w:rPr>
                <w:rFonts w:hint="eastAsia" w:ascii="黑体" w:hAnsi="黑体" w:eastAsia="黑体" w:cs="黑体"/>
                <w:b/>
                <w:bCs w:val="0"/>
                <w:color w:val="auto"/>
                <w:szCs w:val="21"/>
              </w:rPr>
              <w:t>值</w:t>
            </w:r>
          </w:p>
        </w:tc>
        <w:tc>
          <w:tcPr>
            <w:tcW w:w="276" w:type="pct"/>
            <w:noWrap w:val="0"/>
            <w:tcMar>
              <w:left w:w="85" w:type="dxa"/>
              <w:right w:w="85" w:type="dxa"/>
            </w:tcMar>
            <w:vAlign w:val="center"/>
          </w:tcPr>
          <w:p w14:paraId="0B76A126">
            <w:pPr>
              <w:spacing w:line="240" w:lineRule="exact"/>
              <w:jc w:val="center"/>
              <w:rPr>
                <w:rFonts w:hint="eastAsia" w:ascii="黑体" w:hAnsi="黑体" w:eastAsia="黑体" w:cs="黑体"/>
                <w:b/>
                <w:bCs w:val="0"/>
                <w:color w:val="auto"/>
                <w:sz w:val="18"/>
                <w:szCs w:val="18"/>
                <w:lang w:eastAsia="zh-CN"/>
              </w:rPr>
            </w:pPr>
            <w:r>
              <w:rPr>
                <w:rFonts w:hint="eastAsia" w:ascii="黑体" w:hAnsi="黑体" w:eastAsia="黑体" w:cs="黑体"/>
                <w:b/>
                <w:bCs w:val="0"/>
                <w:color w:val="auto"/>
                <w:szCs w:val="21"/>
              </w:rPr>
              <w:t>有效期</w:t>
            </w:r>
            <w:r>
              <w:rPr>
                <w:rFonts w:hint="eastAsia" w:ascii="黑体" w:hAnsi="黑体" w:eastAsia="黑体" w:cs="黑体"/>
                <w:b/>
                <w:bCs w:val="0"/>
                <w:color w:val="auto"/>
                <w:szCs w:val="21"/>
                <w:lang w:eastAsia="zh-CN"/>
              </w:rPr>
              <w:t>限</w:t>
            </w:r>
          </w:p>
        </w:tc>
        <w:tc>
          <w:tcPr>
            <w:tcW w:w="1090" w:type="pct"/>
            <w:noWrap w:val="0"/>
            <w:tcMar>
              <w:left w:w="85" w:type="dxa"/>
              <w:right w:w="85" w:type="dxa"/>
            </w:tcMar>
            <w:vAlign w:val="center"/>
          </w:tcPr>
          <w:p w14:paraId="6EFB2336">
            <w:pPr>
              <w:spacing w:line="240" w:lineRule="exact"/>
              <w:jc w:val="center"/>
              <w:rPr>
                <w:rFonts w:hint="eastAsia" w:ascii="黑体" w:hAnsi="黑体" w:eastAsia="黑体" w:cs="黑体"/>
                <w:b/>
                <w:bCs w:val="0"/>
                <w:color w:val="auto"/>
                <w:sz w:val="18"/>
                <w:szCs w:val="18"/>
                <w:lang w:eastAsia="zh-CN"/>
              </w:rPr>
            </w:pPr>
            <w:r>
              <w:rPr>
                <w:rFonts w:hint="eastAsia" w:ascii="黑体" w:hAnsi="黑体" w:eastAsia="黑体" w:cs="黑体"/>
                <w:b/>
                <w:bCs w:val="0"/>
                <w:color w:val="auto"/>
                <w:szCs w:val="21"/>
                <w:lang w:eastAsia="zh-CN"/>
              </w:rPr>
              <w:t>加分说明</w:t>
            </w:r>
          </w:p>
        </w:tc>
        <w:tc>
          <w:tcPr>
            <w:tcW w:w="374" w:type="pct"/>
            <w:noWrap w:val="0"/>
            <w:tcMar>
              <w:left w:w="85" w:type="dxa"/>
              <w:right w:w="85" w:type="dxa"/>
            </w:tcMar>
            <w:vAlign w:val="center"/>
          </w:tcPr>
          <w:p w14:paraId="0367CF6C">
            <w:pPr>
              <w:spacing w:line="240" w:lineRule="exact"/>
              <w:jc w:val="center"/>
              <w:rPr>
                <w:rFonts w:hint="eastAsia" w:ascii="黑体" w:hAnsi="黑体" w:eastAsia="黑体" w:cs="黑体"/>
                <w:b/>
                <w:bCs w:val="0"/>
                <w:color w:val="auto"/>
                <w:szCs w:val="21"/>
                <w:lang w:eastAsia="zh-CN"/>
              </w:rPr>
            </w:pPr>
            <w:r>
              <w:rPr>
                <w:rFonts w:hint="eastAsia" w:ascii="黑体" w:hAnsi="黑体" w:eastAsia="黑体" w:cs="黑体"/>
                <w:b/>
                <w:bCs w:val="0"/>
                <w:color w:val="auto"/>
                <w:szCs w:val="21"/>
                <w:lang w:eastAsia="zh-CN"/>
              </w:rPr>
              <w:t>适用对象</w:t>
            </w:r>
          </w:p>
        </w:tc>
        <w:tc>
          <w:tcPr>
            <w:tcW w:w="622" w:type="pct"/>
            <w:noWrap w:val="0"/>
            <w:tcMar>
              <w:left w:w="85" w:type="dxa"/>
              <w:right w:w="85" w:type="dxa"/>
            </w:tcMar>
            <w:vAlign w:val="center"/>
          </w:tcPr>
          <w:p w14:paraId="3892C457">
            <w:pPr>
              <w:spacing w:line="240" w:lineRule="exact"/>
              <w:jc w:val="center"/>
              <w:rPr>
                <w:rFonts w:hint="eastAsia" w:ascii="黑体" w:hAnsi="黑体" w:eastAsia="黑体" w:cs="黑体"/>
                <w:b/>
                <w:bCs w:val="0"/>
                <w:color w:val="auto"/>
                <w:szCs w:val="21"/>
              </w:rPr>
            </w:pPr>
            <w:r>
              <w:rPr>
                <w:rFonts w:hint="eastAsia" w:ascii="黑体" w:hAnsi="黑体" w:eastAsia="黑体" w:cs="黑体"/>
                <w:b/>
                <w:bCs w:val="0"/>
                <w:color w:val="auto"/>
                <w:szCs w:val="21"/>
                <w:lang w:eastAsia="zh-CN"/>
              </w:rPr>
              <w:t>实施主体</w:t>
            </w:r>
          </w:p>
        </w:tc>
      </w:tr>
      <w:tr w14:paraId="3C17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7" w:type="pct"/>
            <w:vMerge w:val="restart"/>
            <w:tcBorders>
              <w:top w:val="single" w:color="auto" w:sz="4" w:space="0"/>
            </w:tcBorders>
            <w:noWrap w:val="0"/>
            <w:vAlign w:val="center"/>
          </w:tcPr>
          <w:p w14:paraId="24BDE368">
            <w:pPr>
              <w:numPr>
                <w:ilvl w:val="0"/>
                <w:numId w:val="1"/>
              </w:numPr>
              <w:ind w:left="0" w:leftChars="0" w:firstLine="0" w:firstLineChars="0"/>
              <w:jc w:val="center"/>
              <w:rPr>
                <w:rFonts w:hint="eastAsia" w:ascii="仿宋_GB2312" w:eastAsia="仿宋_GB2312"/>
                <w:b/>
                <w:color w:val="auto"/>
                <w:sz w:val="18"/>
                <w:szCs w:val="18"/>
                <w:lang w:eastAsia="zh-CN"/>
              </w:rPr>
            </w:pPr>
          </w:p>
        </w:tc>
        <w:tc>
          <w:tcPr>
            <w:tcW w:w="263" w:type="pct"/>
            <w:vMerge w:val="restart"/>
            <w:tcBorders>
              <w:top w:val="single" w:color="auto" w:sz="4" w:space="0"/>
              <w:bottom w:val="single" w:color="auto" w:sz="4" w:space="0"/>
            </w:tcBorders>
            <w:noWrap w:val="0"/>
            <w:vAlign w:val="center"/>
          </w:tcPr>
          <w:p w14:paraId="3E4BADB8">
            <w:pPr>
              <w:jc w:val="center"/>
              <w:rPr>
                <w:rFonts w:hint="eastAsia" w:ascii="仿宋_GB2312" w:eastAsia="仿宋_GB2312"/>
                <w:b/>
                <w:color w:val="auto"/>
                <w:sz w:val="18"/>
                <w:szCs w:val="18"/>
              </w:rPr>
            </w:pPr>
            <w:r>
              <w:rPr>
                <w:rFonts w:hint="eastAsia" w:ascii="仿宋_GB2312" w:eastAsia="仿宋_GB2312"/>
                <w:b/>
                <w:color w:val="auto"/>
                <w:sz w:val="18"/>
                <w:szCs w:val="18"/>
              </w:rPr>
              <w:t>通</w:t>
            </w:r>
          </w:p>
          <w:p w14:paraId="52839825">
            <w:pPr>
              <w:jc w:val="center"/>
              <w:rPr>
                <w:rFonts w:hint="eastAsia" w:ascii="仿宋_GB2312" w:eastAsia="仿宋_GB2312"/>
                <w:b/>
                <w:color w:val="auto"/>
                <w:sz w:val="18"/>
                <w:szCs w:val="18"/>
              </w:rPr>
            </w:pPr>
            <w:r>
              <w:rPr>
                <w:rFonts w:hint="eastAsia" w:ascii="仿宋_GB2312" w:eastAsia="仿宋_GB2312"/>
                <w:b/>
                <w:color w:val="auto"/>
                <w:sz w:val="18"/>
                <w:szCs w:val="18"/>
              </w:rPr>
              <w:t>报</w:t>
            </w:r>
          </w:p>
          <w:p w14:paraId="0A1EA90D">
            <w:pPr>
              <w:jc w:val="center"/>
              <w:rPr>
                <w:rFonts w:hint="eastAsia" w:ascii="仿宋_GB2312" w:eastAsia="仿宋_GB2312"/>
                <w:b/>
                <w:color w:val="auto"/>
                <w:sz w:val="18"/>
                <w:szCs w:val="18"/>
              </w:rPr>
            </w:pPr>
            <w:r>
              <w:rPr>
                <w:rFonts w:hint="eastAsia" w:ascii="仿宋_GB2312" w:eastAsia="仿宋_GB2312"/>
                <w:b/>
                <w:color w:val="auto"/>
                <w:sz w:val="18"/>
                <w:szCs w:val="18"/>
              </w:rPr>
              <w:t>表</w:t>
            </w:r>
          </w:p>
          <w:p w14:paraId="43E2949D">
            <w:pPr>
              <w:jc w:val="center"/>
              <w:rPr>
                <w:rFonts w:hint="eastAsia" w:ascii="仿宋_GB2312" w:eastAsia="仿宋_GB2312"/>
                <w:b/>
                <w:color w:val="auto"/>
                <w:sz w:val="18"/>
                <w:szCs w:val="18"/>
              </w:rPr>
            </w:pPr>
            <w:r>
              <w:rPr>
                <w:rFonts w:hint="eastAsia" w:ascii="仿宋_GB2312" w:eastAsia="仿宋_GB2312"/>
                <w:b/>
                <w:color w:val="auto"/>
                <w:sz w:val="18"/>
                <w:szCs w:val="18"/>
              </w:rPr>
              <w:t>扬</w:t>
            </w:r>
          </w:p>
        </w:tc>
        <w:tc>
          <w:tcPr>
            <w:tcW w:w="415" w:type="pct"/>
            <w:noWrap w:val="0"/>
            <w:tcMar>
              <w:left w:w="28" w:type="dxa"/>
              <w:right w:w="28" w:type="dxa"/>
            </w:tcMar>
            <w:vAlign w:val="center"/>
          </w:tcPr>
          <w:p w14:paraId="0B79B5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rPr>
              <w:t>国家级</w:t>
            </w:r>
          </w:p>
        </w:tc>
        <w:tc>
          <w:tcPr>
            <w:tcW w:w="1334" w:type="pct"/>
            <w:noWrap w:val="0"/>
            <w:vAlign w:val="center"/>
          </w:tcPr>
          <w:p w14:paraId="14EB97A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u w:val="wavyHeavy"/>
              </w:rPr>
            </w:pPr>
            <w:r>
              <w:rPr>
                <w:rFonts w:hint="eastAsia" w:ascii="仿宋_GB2312" w:hAnsi="宋体" w:eastAsia="仿宋_GB2312"/>
                <w:color w:val="auto"/>
                <w:sz w:val="18"/>
                <w:szCs w:val="18"/>
                <w:lang w:eastAsia="zh-CN"/>
              </w:rPr>
              <w:t>住房城乡建设部</w:t>
            </w:r>
            <w:r>
              <w:rPr>
                <w:rFonts w:hint="eastAsia" w:ascii="仿宋_GB2312" w:hAnsi="宋体" w:eastAsia="仿宋_GB2312"/>
                <w:color w:val="auto"/>
                <w:sz w:val="18"/>
                <w:szCs w:val="18"/>
              </w:rPr>
              <w:t>通报表扬</w:t>
            </w:r>
          </w:p>
        </w:tc>
        <w:tc>
          <w:tcPr>
            <w:tcW w:w="483" w:type="pct"/>
            <w:noWrap w:val="0"/>
            <w:vAlign w:val="center"/>
          </w:tcPr>
          <w:p w14:paraId="1190AE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每次</w:t>
            </w:r>
            <w:r>
              <w:rPr>
                <w:rFonts w:hint="eastAsia" w:ascii="仿宋_GB2312" w:hAnsi="宋体" w:eastAsia="仿宋_GB2312"/>
                <w:color w:val="auto"/>
                <w:sz w:val="18"/>
                <w:szCs w:val="18"/>
              </w:rPr>
              <w:t>加</w:t>
            </w:r>
            <w:r>
              <w:rPr>
                <w:rFonts w:hint="eastAsia" w:ascii="仿宋_GB2312" w:hAnsi="宋体" w:eastAsia="仿宋_GB2312"/>
                <w:color w:val="auto"/>
                <w:sz w:val="18"/>
                <w:szCs w:val="18"/>
                <w:lang w:val="en-US" w:eastAsia="zh-CN"/>
              </w:rPr>
              <w:t>30</w:t>
            </w:r>
            <w:r>
              <w:rPr>
                <w:rFonts w:hint="eastAsia" w:ascii="仿宋_GB2312" w:hAnsi="宋体" w:eastAsia="仿宋_GB2312"/>
                <w:color w:val="auto"/>
                <w:sz w:val="18"/>
                <w:szCs w:val="18"/>
              </w:rPr>
              <w:t>分</w:t>
            </w:r>
          </w:p>
        </w:tc>
        <w:tc>
          <w:tcPr>
            <w:tcW w:w="276" w:type="pct"/>
            <w:vMerge w:val="restart"/>
            <w:noWrap w:val="0"/>
            <w:vAlign w:val="center"/>
          </w:tcPr>
          <w:p w14:paraId="155D09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val="en-US" w:eastAsia="zh-CN"/>
              </w:rPr>
              <w:t>1</w:t>
            </w:r>
            <w:r>
              <w:rPr>
                <w:rFonts w:hint="eastAsia" w:ascii="仿宋_GB2312" w:hAnsi="宋体" w:eastAsia="仿宋_GB2312"/>
                <w:color w:val="auto"/>
                <w:sz w:val="18"/>
                <w:szCs w:val="18"/>
              </w:rPr>
              <w:t>年</w:t>
            </w:r>
          </w:p>
        </w:tc>
        <w:tc>
          <w:tcPr>
            <w:tcW w:w="1090" w:type="pct"/>
            <w:vMerge w:val="restart"/>
            <w:noWrap w:val="0"/>
            <w:vAlign w:val="center"/>
          </w:tcPr>
          <w:p w14:paraId="3D497E08">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eastAsia="仿宋_GB2312"/>
                <w:color w:val="auto"/>
                <w:sz w:val="18"/>
                <w:szCs w:val="18"/>
                <w:lang w:val="en-US" w:eastAsia="zh-CN"/>
              </w:rPr>
            </w:pPr>
            <w:r>
              <w:rPr>
                <w:rFonts w:hint="eastAsia" w:ascii="仿宋_GB2312" w:hAnsi="宋体" w:eastAsia="仿宋_GB2312"/>
                <w:color w:val="auto"/>
                <w:sz w:val="18"/>
                <w:szCs w:val="18"/>
                <w:lang w:eastAsia="zh-CN"/>
              </w:rPr>
              <w:t>从通报表扬文件印发之日起计算（市、区住房城乡建设主管部门对同一个企业的通报表扬加分仅限当月录入有效，每年度上限为</w:t>
            </w:r>
            <w:r>
              <w:rPr>
                <w:rFonts w:hint="eastAsia" w:ascii="仿宋_GB2312" w:hAnsi="宋体" w:eastAsia="仿宋_GB2312"/>
                <w:color w:val="auto"/>
                <w:sz w:val="18"/>
                <w:szCs w:val="18"/>
                <w:lang w:val="en-US" w:eastAsia="zh-CN"/>
              </w:rPr>
              <w:t>12</w:t>
            </w:r>
            <w:r>
              <w:rPr>
                <w:rFonts w:hint="eastAsia" w:ascii="仿宋_GB2312" w:hAnsi="宋体" w:eastAsia="仿宋_GB2312"/>
                <w:color w:val="auto"/>
                <w:sz w:val="18"/>
                <w:szCs w:val="18"/>
                <w:lang w:eastAsia="zh-CN"/>
              </w:rPr>
              <w:t>次）</w:t>
            </w:r>
          </w:p>
        </w:tc>
        <w:tc>
          <w:tcPr>
            <w:tcW w:w="374" w:type="pct"/>
            <w:vMerge w:val="restart"/>
            <w:noWrap w:val="0"/>
            <w:vAlign w:val="center"/>
          </w:tcPr>
          <w:p w14:paraId="34C221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lang w:eastAsia="zh-CN"/>
              </w:rPr>
            </w:pPr>
            <w:r>
              <w:rPr>
                <w:rFonts w:hint="eastAsia" w:ascii="仿宋_GB2312" w:hAnsi="宋体" w:eastAsia="仿宋_GB2312"/>
                <w:color w:val="auto"/>
                <w:sz w:val="18"/>
                <w:szCs w:val="18"/>
                <w:lang w:eastAsia="zh-CN"/>
              </w:rPr>
              <w:t>所有企业类别</w:t>
            </w:r>
          </w:p>
        </w:tc>
        <w:tc>
          <w:tcPr>
            <w:tcW w:w="622" w:type="pct"/>
            <w:vMerge w:val="restart"/>
            <w:noWrap w:val="0"/>
            <w:vAlign w:val="center"/>
          </w:tcPr>
          <w:p w14:paraId="1A7F1D5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z w:val="18"/>
                <w:szCs w:val="18"/>
                <w:lang w:eastAsia="zh-CN"/>
              </w:rPr>
              <w:t>市级以上（含市级）通报表扬由市住房城乡建设主管部门审核或负责登记，区级通报表扬由各区住房城乡建设主管部门审核或负责登记</w:t>
            </w:r>
          </w:p>
        </w:tc>
      </w:tr>
      <w:tr w14:paraId="2F16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7" w:type="pct"/>
            <w:vMerge w:val="continue"/>
            <w:noWrap w:val="0"/>
            <w:vAlign w:val="center"/>
          </w:tcPr>
          <w:p w14:paraId="4F16794A">
            <w:pPr>
              <w:ind w:firstLineChars="0"/>
              <w:jc w:val="center"/>
              <w:rPr>
                <w:rFonts w:hint="eastAsia" w:ascii="仿宋_GB2312" w:eastAsia="仿宋_GB2312"/>
                <w:b/>
                <w:color w:val="auto"/>
                <w:sz w:val="18"/>
                <w:szCs w:val="18"/>
              </w:rPr>
            </w:pPr>
          </w:p>
        </w:tc>
        <w:tc>
          <w:tcPr>
            <w:tcW w:w="263" w:type="pct"/>
            <w:vMerge w:val="continue"/>
            <w:tcBorders>
              <w:top w:val="single" w:color="auto" w:sz="4" w:space="0"/>
              <w:bottom w:val="single" w:color="auto" w:sz="4" w:space="0"/>
            </w:tcBorders>
            <w:noWrap w:val="0"/>
            <w:vAlign w:val="center"/>
          </w:tcPr>
          <w:p w14:paraId="47BA7EBC">
            <w:pPr>
              <w:jc w:val="center"/>
              <w:rPr>
                <w:rFonts w:hint="eastAsia" w:ascii="仿宋_GB2312" w:eastAsia="仿宋_GB2312"/>
                <w:color w:val="auto"/>
                <w:sz w:val="18"/>
                <w:szCs w:val="18"/>
              </w:rPr>
            </w:pPr>
          </w:p>
        </w:tc>
        <w:tc>
          <w:tcPr>
            <w:tcW w:w="415" w:type="pct"/>
            <w:vMerge w:val="restart"/>
            <w:tcBorders>
              <w:top w:val="nil"/>
            </w:tcBorders>
            <w:noWrap w:val="0"/>
            <w:tcMar>
              <w:left w:w="28" w:type="dxa"/>
              <w:right w:w="28" w:type="dxa"/>
            </w:tcMar>
            <w:vAlign w:val="center"/>
          </w:tcPr>
          <w:p w14:paraId="2151C0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rPr>
              <w:t>省级</w:t>
            </w:r>
          </w:p>
        </w:tc>
        <w:tc>
          <w:tcPr>
            <w:tcW w:w="1334" w:type="pct"/>
            <w:tcBorders>
              <w:top w:val="nil"/>
            </w:tcBorders>
            <w:noWrap w:val="0"/>
            <w:vAlign w:val="center"/>
          </w:tcPr>
          <w:p w14:paraId="5D8113C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省委、省政府</w:t>
            </w:r>
            <w:r>
              <w:rPr>
                <w:rFonts w:hint="eastAsia" w:ascii="仿宋_GB2312" w:hAnsi="宋体" w:eastAsia="仿宋_GB2312"/>
                <w:color w:val="auto"/>
                <w:sz w:val="18"/>
                <w:szCs w:val="18"/>
              </w:rPr>
              <w:t>通报表扬</w:t>
            </w:r>
          </w:p>
        </w:tc>
        <w:tc>
          <w:tcPr>
            <w:tcW w:w="483" w:type="pct"/>
            <w:tcBorders>
              <w:top w:val="nil"/>
            </w:tcBorders>
            <w:noWrap w:val="0"/>
            <w:vAlign w:val="center"/>
          </w:tcPr>
          <w:p w14:paraId="76D020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每次</w:t>
            </w:r>
            <w:r>
              <w:rPr>
                <w:rFonts w:hint="eastAsia" w:ascii="仿宋_GB2312" w:hAnsi="宋体" w:eastAsia="仿宋_GB2312"/>
                <w:color w:val="auto"/>
                <w:sz w:val="18"/>
                <w:szCs w:val="18"/>
              </w:rPr>
              <w:t>加</w:t>
            </w:r>
            <w:r>
              <w:rPr>
                <w:rFonts w:ascii="仿宋_GB2312" w:hAnsi="宋体" w:eastAsia="仿宋_GB2312"/>
                <w:color w:val="auto"/>
                <w:sz w:val="18"/>
                <w:szCs w:val="18"/>
              </w:rPr>
              <w:t>30</w:t>
            </w:r>
            <w:r>
              <w:rPr>
                <w:rFonts w:hint="eastAsia" w:ascii="仿宋_GB2312" w:hAnsi="宋体" w:eastAsia="仿宋_GB2312"/>
                <w:color w:val="auto"/>
                <w:sz w:val="18"/>
                <w:szCs w:val="18"/>
              </w:rPr>
              <w:t>分</w:t>
            </w:r>
          </w:p>
        </w:tc>
        <w:tc>
          <w:tcPr>
            <w:tcW w:w="276" w:type="pct"/>
            <w:vMerge w:val="continue"/>
            <w:noWrap w:val="0"/>
            <w:vAlign w:val="center"/>
          </w:tcPr>
          <w:p w14:paraId="44735E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090" w:type="pct"/>
            <w:vMerge w:val="continue"/>
            <w:tcBorders>
              <w:top w:val="nil"/>
            </w:tcBorders>
            <w:noWrap w:val="0"/>
            <w:vAlign w:val="center"/>
          </w:tcPr>
          <w:p w14:paraId="53AAD1F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p>
        </w:tc>
        <w:tc>
          <w:tcPr>
            <w:tcW w:w="374" w:type="pct"/>
            <w:vMerge w:val="continue"/>
            <w:noWrap w:val="0"/>
            <w:vAlign w:val="center"/>
          </w:tcPr>
          <w:p w14:paraId="065629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622" w:type="pct"/>
            <w:vMerge w:val="continue"/>
            <w:noWrap w:val="0"/>
            <w:vAlign w:val="center"/>
          </w:tcPr>
          <w:p w14:paraId="758006A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r>
      <w:tr w14:paraId="74F8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7" w:type="pct"/>
            <w:vMerge w:val="continue"/>
            <w:noWrap w:val="0"/>
            <w:vAlign w:val="center"/>
          </w:tcPr>
          <w:p w14:paraId="45311BD2">
            <w:pPr>
              <w:ind w:firstLineChars="0"/>
              <w:jc w:val="center"/>
              <w:rPr>
                <w:rFonts w:hint="eastAsia" w:ascii="仿宋_GB2312" w:eastAsia="仿宋_GB2312"/>
                <w:b/>
                <w:color w:val="auto"/>
                <w:sz w:val="18"/>
                <w:szCs w:val="18"/>
              </w:rPr>
            </w:pPr>
          </w:p>
        </w:tc>
        <w:tc>
          <w:tcPr>
            <w:tcW w:w="263" w:type="pct"/>
            <w:vMerge w:val="continue"/>
            <w:tcBorders>
              <w:top w:val="single" w:color="auto" w:sz="4" w:space="0"/>
              <w:bottom w:val="single" w:color="auto" w:sz="4" w:space="0"/>
            </w:tcBorders>
            <w:noWrap w:val="0"/>
            <w:vAlign w:val="center"/>
          </w:tcPr>
          <w:p w14:paraId="0221ED51">
            <w:pPr>
              <w:jc w:val="center"/>
              <w:rPr>
                <w:rFonts w:hint="eastAsia" w:ascii="仿宋_GB2312" w:eastAsia="仿宋_GB2312"/>
                <w:color w:val="auto"/>
                <w:sz w:val="18"/>
                <w:szCs w:val="18"/>
              </w:rPr>
            </w:pPr>
          </w:p>
        </w:tc>
        <w:tc>
          <w:tcPr>
            <w:tcW w:w="415" w:type="pct"/>
            <w:vMerge w:val="continue"/>
            <w:tcBorders>
              <w:top w:val="nil"/>
            </w:tcBorders>
            <w:noWrap w:val="0"/>
            <w:tcMar>
              <w:left w:w="28" w:type="dxa"/>
              <w:right w:w="28" w:type="dxa"/>
            </w:tcMar>
            <w:vAlign w:val="center"/>
          </w:tcPr>
          <w:p w14:paraId="04AE42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334" w:type="pct"/>
            <w:noWrap w:val="0"/>
            <w:vAlign w:val="center"/>
          </w:tcPr>
          <w:p w14:paraId="06F5DFF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省住房城乡建设厅</w:t>
            </w:r>
            <w:r>
              <w:rPr>
                <w:rFonts w:hint="eastAsia" w:ascii="仿宋_GB2312" w:hAnsi="宋体" w:eastAsia="仿宋_GB2312"/>
                <w:color w:val="auto"/>
                <w:sz w:val="18"/>
                <w:szCs w:val="18"/>
              </w:rPr>
              <w:t xml:space="preserve">通报表扬 </w:t>
            </w:r>
          </w:p>
        </w:tc>
        <w:tc>
          <w:tcPr>
            <w:tcW w:w="483" w:type="pct"/>
            <w:noWrap w:val="0"/>
            <w:vAlign w:val="center"/>
          </w:tcPr>
          <w:p w14:paraId="45BEA0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每次</w:t>
            </w:r>
            <w:r>
              <w:rPr>
                <w:rFonts w:hint="eastAsia" w:ascii="仿宋_GB2312" w:hAnsi="宋体" w:eastAsia="仿宋_GB2312"/>
                <w:color w:val="auto"/>
                <w:sz w:val="18"/>
                <w:szCs w:val="18"/>
              </w:rPr>
              <w:t>加20分</w:t>
            </w:r>
          </w:p>
        </w:tc>
        <w:tc>
          <w:tcPr>
            <w:tcW w:w="276" w:type="pct"/>
            <w:vMerge w:val="continue"/>
            <w:noWrap w:val="0"/>
            <w:vAlign w:val="center"/>
          </w:tcPr>
          <w:p w14:paraId="7B8F8F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090" w:type="pct"/>
            <w:vMerge w:val="continue"/>
            <w:tcBorders>
              <w:top w:val="nil"/>
            </w:tcBorders>
            <w:noWrap w:val="0"/>
            <w:vAlign w:val="center"/>
          </w:tcPr>
          <w:p w14:paraId="3EDC7DF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p>
        </w:tc>
        <w:tc>
          <w:tcPr>
            <w:tcW w:w="374" w:type="pct"/>
            <w:vMerge w:val="continue"/>
            <w:noWrap w:val="0"/>
            <w:vAlign w:val="center"/>
          </w:tcPr>
          <w:p w14:paraId="4D1A6D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622" w:type="pct"/>
            <w:vMerge w:val="continue"/>
            <w:noWrap w:val="0"/>
            <w:vAlign w:val="center"/>
          </w:tcPr>
          <w:p w14:paraId="68E0A0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r>
      <w:tr w14:paraId="1CEF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7" w:type="pct"/>
            <w:vMerge w:val="continue"/>
            <w:noWrap w:val="0"/>
            <w:vAlign w:val="center"/>
          </w:tcPr>
          <w:p w14:paraId="107F8E2B">
            <w:pPr>
              <w:ind w:firstLineChars="0"/>
              <w:jc w:val="center"/>
              <w:rPr>
                <w:rFonts w:hint="eastAsia" w:ascii="仿宋_GB2312" w:eastAsia="仿宋_GB2312"/>
                <w:b/>
                <w:color w:val="auto"/>
                <w:sz w:val="18"/>
                <w:szCs w:val="18"/>
              </w:rPr>
            </w:pPr>
          </w:p>
        </w:tc>
        <w:tc>
          <w:tcPr>
            <w:tcW w:w="263" w:type="pct"/>
            <w:vMerge w:val="continue"/>
            <w:tcBorders>
              <w:top w:val="single" w:color="auto" w:sz="4" w:space="0"/>
              <w:bottom w:val="single" w:color="auto" w:sz="4" w:space="0"/>
            </w:tcBorders>
            <w:noWrap w:val="0"/>
            <w:vAlign w:val="center"/>
          </w:tcPr>
          <w:p w14:paraId="0A8986AF">
            <w:pPr>
              <w:jc w:val="center"/>
              <w:rPr>
                <w:rFonts w:hint="eastAsia" w:ascii="仿宋_GB2312" w:eastAsia="仿宋_GB2312"/>
                <w:color w:val="auto"/>
                <w:sz w:val="18"/>
                <w:szCs w:val="18"/>
              </w:rPr>
            </w:pPr>
          </w:p>
        </w:tc>
        <w:tc>
          <w:tcPr>
            <w:tcW w:w="415" w:type="pct"/>
            <w:vMerge w:val="restart"/>
            <w:noWrap w:val="0"/>
            <w:tcMar>
              <w:left w:w="28" w:type="dxa"/>
              <w:right w:w="28" w:type="dxa"/>
            </w:tcMar>
            <w:vAlign w:val="center"/>
          </w:tcPr>
          <w:p w14:paraId="500F61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rPr>
              <w:t>市、区级</w:t>
            </w:r>
          </w:p>
        </w:tc>
        <w:tc>
          <w:tcPr>
            <w:tcW w:w="1334" w:type="pct"/>
            <w:noWrap w:val="0"/>
            <w:vAlign w:val="center"/>
          </w:tcPr>
          <w:p w14:paraId="777D021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市委、市政府</w:t>
            </w:r>
            <w:r>
              <w:rPr>
                <w:rFonts w:hint="eastAsia" w:ascii="仿宋_GB2312" w:hAnsi="宋体" w:eastAsia="仿宋_GB2312"/>
                <w:color w:val="auto"/>
                <w:sz w:val="18"/>
                <w:szCs w:val="18"/>
              </w:rPr>
              <w:t>通报</w:t>
            </w:r>
            <w:r>
              <w:rPr>
                <w:rFonts w:hint="eastAsia" w:ascii="仿宋_GB2312" w:hAnsi="仿宋_GB2312" w:eastAsia="仿宋_GB2312" w:cs="仿宋_GB2312"/>
                <w:color w:val="auto"/>
                <w:sz w:val="18"/>
                <w:szCs w:val="18"/>
              </w:rPr>
              <w:t>表扬</w:t>
            </w:r>
          </w:p>
        </w:tc>
        <w:tc>
          <w:tcPr>
            <w:tcW w:w="483" w:type="pct"/>
            <w:noWrap w:val="0"/>
            <w:vAlign w:val="center"/>
          </w:tcPr>
          <w:p w14:paraId="19FE7B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r>
              <w:rPr>
                <w:rFonts w:hint="eastAsia" w:ascii="仿宋_GB2312" w:hAnsi="宋体" w:eastAsia="仿宋_GB2312"/>
                <w:color w:val="auto"/>
                <w:sz w:val="18"/>
                <w:szCs w:val="18"/>
                <w:lang w:eastAsia="zh-CN"/>
              </w:rPr>
              <w:t>每次</w:t>
            </w:r>
            <w:r>
              <w:rPr>
                <w:rFonts w:hint="eastAsia" w:ascii="仿宋_GB2312" w:hAnsi="宋体" w:eastAsia="仿宋_GB2312"/>
                <w:color w:val="auto"/>
                <w:sz w:val="18"/>
                <w:szCs w:val="18"/>
              </w:rPr>
              <w:t>加</w:t>
            </w:r>
            <w:r>
              <w:rPr>
                <w:rFonts w:hint="default" w:ascii="仿宋_GB2312" w:hAnsi="宋体" w:eastAsia="仿宋_GB2312"/>
                <w:color w:val="auto"/>
                <w:sz w:val="18"/>
                <w:szCs w:val="18"/>
                <w:lang w:val="en-US"/>
              </w:rPr>
              <w:t>20</w:t>
            </w:r>
            <w:r>
              <w:rPr>
                <w:rFonts w:hint="eastAsia" w:ascii="仿宋_GB2312" w:hAnsi="宋体" w:eastAsia="仿宋_GB2312"/>
                <w:color w:val="auto"/>
                <w:sz w:val="18"/>
                <w:szCs w:val="18"/>
              </w:rPr>
              <w:t>分</w:t>
            </w:r>
          </w:p>
        </w:tc>
        <w:tc>
          <w:tcPr>
            <w:tcW w:w="276" w:type="pct"/>
            <w:vMerge w:val="continue"/>
            <w:noWrap w:val="0"/>
            <w:vAlign w:val="center"/>
          </w:tcPr>
          <w:p w14:paraId="196703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p>
        </w:tc>
        <w:tc>
          <w:tcPr>
            <w:tcW w:w="1090" w:type="pct"/>
            <w:vMerge w:val="continue"/>
            <w:tcBorders>
              <w:top w:val="nil"/>
            </w:tcBorders>
            <w:noWrap w:val="0"/>
            <w:vAlign w:val="center"/>
          </w:tcPr>
          <w:p w14:paraId="75F35FA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p>
        </w:tc>
        <w:tc>
          <w:tcPr>
            <w:tcW w:w="374" w:type="pct"/>
            <w:vMerge w:val="continue"/>
            <w:noWrap w:val="0"/>
            <w:vAlign w:val="center"/>
          </w:tcPr>
          <w:p w14:paraId="4C73C12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p>
        </w:tc>
        <w:tc>
          <w:tcPr>
            <w:tcW w:w="622" w:type="pct"/>
            <w:vMerge w:val="continue"/>
            <w:noWrap w:val="0"/>
            <w:vAlign w:val="center"/>
          </w:tcPr>
          <w:p w14:paraId="03AA196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p>
        </w:tc>
      </w:tr>
      <w:tr w14:paraId="540C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7" w:type="pct"/>
            <w:vMerge w:val="continue"/>
            <w:noWrap w:val="0"/>
            <w:vAlign w:val="center"/>
          </w:tcPr>
          <w:p w14:paraId="24B3FDD1">
            <w:pPr>
              <w:ind w:firstLineChars="0"/>
              <w:jc w:val="center"/>
              <w:rPr>
                <w:rFonts w:hint="eastAsia" w:ascii="仿宋_GB2312" w:eastAsia="仿宋_GB2312"/>
                <w:b/>
                <w:color w:val="auto"/>
                <w:sz w:val="18"/>
                <w:szCs w:val="18"/>
              </w:rPr>
            </w:pPr>
          </w:p>
        </w:tc>
        <w:tc>
          <w:tcPr>
            <w:tcW w:w="263" w:type="pct"/>
            <w:vMerge w:val="continue"/>
            <w:tcBorders>
              <w:top w:val="single" w:color="auto" w:sz="4" w:space="0"/>
              <w:bottom w:val="single" w:color="auto" w:sz="4" w:space="0"/>
            </w:tcBorders>
            <w:noWrap w:val="0"/>
            <w:vAlign w:val="center"/>
          </w:tcPr>
          <w:p w14:paraId="629BD640">
            <w:pPr>
              <w:jc w:val="center"/>
              <w:rPr>
                <w:rFonts w:hint="eastAsia" w:ascii="仿宋_GB2312" w:eastAsia="仿宋_GB2312"/>
                <w:color w:val="auto"/>
                <w:sz w:val="18"/>
                <w:szCs w:val="18"/>
              </w:rPr>
            </w:pPr>
          </w:p>
        </w:tc>
        <w:tc>
          <w:tcPr>
            <w:tcW w:w="415" w:type="pct"/>
            <w:vMerge w:val="continue"/>
            <w:noWrap w:val="0"/>
            <w:vAlign w:val="center"/>
          </w:tcPr>
          <w:p w14:paraId="191CA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334" w:type="pct"/>
            <w:noWrap w:val="0"/>
            <w:vAlign w:val="center"/>
          </w:tcPr>
          <w:p w14:paraId="2BD0984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rPr>
              <w:t>市</w:t>
            </w:r>
            <w:r>
              <w:rPr>
                <w:rFonts w:hint="eastAsia" w:ascii="仿宋_GB2312" w:hAnsi="宋体" w:eastAsia="仿宋_GB2312"/>
                <w:color w:val="auto"/>
                <w:sz w:val="18"/>
                <w:szCs w:val="18"/>
                <w:lang w:eastAsia="zh-CN"/>
              </w:rPr>
              <w:t>住房城乡建设主管部门，各区委、区政府</w:t>
            </w:r>
            <w:r>
              <w:rPr>
                <w:rFonts w:hint="eastAsia" w:ascii="仿宋_GB2312" w:hAnsi="宋体" w:eastAsia="仿宋_GB2312"/>
                <w:color w:val="auto"/>
                <w:sz w:val="18"/>
                <w:szCs w:val="18"/>
              </w:rPr>
              <w:t>通报表扬</w:t>
            </w:r>
          </w:p>
        </w:tc>
        <w:tc>
          <w:tcPr>
            <w:tcW w:w="483" w:type="pct"/>
            <w:noWrap w:val="0"/>
            <w:vAlign w:val="center"/>
          </w:tcPr>
          <w:p w14:paraId="72EC3F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每次</w:t>
            </w:r>
            <w:r>
              <w:rPr>
                <w:rFonts w:hint="eastAsia" w:ascii="仿宋_GB2312" w:hAnsi="宋体" w:eastAsia="仿宋_GB2312"/>
                <w:color w:val="auto"/>
                <w:sz w:val="18"/>
                <w:szCs w:val="18"/>
              </w:rPr>
              <w:t>加</w:t>
            </w:r>
            <w:r>
              <w:rPr>
                <w:rFonts w:hint="default" w:ascii="仿宋_GB2312" w:hAnsi="宋体" w:eastAsia="仿宋_GB2312"/>
                <w:color w:val="auto"/>
                <w:sz w:val="18"/>
                <w:szCs w:val="18"/>
                <w:lang w:val="en-US"/>
              </w:rPr>
              <w:t>15</w:t>
            </w:r>
            <w:r>
              <w:rPr>
                <w:rFonts w:hint="eastAsia" w:ascii="仿宋_GB2312" w:hAnsi="宋体" w:eastAsia="仿宋_GB2312"/>
                <w:color w:val="auto"/>
                <w:sz w:val="18"/>
                <w:szCs w:val="18"/>
              </w:rPr>
              <w:t>分</w:t>
            </w:r>
          </w:p>
        </w:tc>
        <w:tc>
          <w:tcPr>
            <w:tcW w:w="276" w:type="pct"/>
            <w:vMerge w:val="continue"/>
            <w:noWrap w:val="0"/>
            <w:vAlign w:val="center"/>
          </w:tcPr>
          <w:p w14:paraId="428ECF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090" w:type="pct"/>
            <w:vMerge w:val="continue"/>
            <w:tcBorders>
              <w:top w:val="nil"/>
            </w:tcBorders>
            <w:noWrap w:val="0"/>
            <w:vAlign w:val="center"/>
          </w:tcPr>
          <w:p w14:paraId="2B18967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p>
        </w:tc>
        <w:tc>
          <w:tcPr>
            <w:tcW w:w="374" w:type="pct"/>
            <w:vMerge w:val="continue"/>
            <w:noWrap w:val="0"/>
            <w:vAlign w:val="center"/>
          </w:tcPr>
          <w:p w14:paraId="408B7E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622" w:type="pct"/>
            <w:vMerge w:val="continue"/>
            <w:noWrap w:val="0"/>
            <w:vAlign w:val="center"/>
          </w:tcPr>
          <w:p w14:paraId="0AA3E0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r>
      <w:tr w14:paraId="245A2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7" w:type="pct"/>
            <w:vMerge w:val="continue"/>
            <w:noWrap w:val="0"/>
            <w:vAlign w:val="center"/>
          </w:tcPr>
          <w:p w14:paraId="7050259F">
            <w:pPr>
              <w:ind w:firstLineChars="0"/>
              <w:jc w:val="center"/>
              <w:rPr>
                <w:rFonts w:hint="eastAsia" w:ascii="仿宋_GB2312" w:eastAsia="仿宋_GB2312"/>
                <w:b/>
                <w:color w:val="auto"/>
                <w:sz w:val="18"/>
                <w:szCs w:val="18"/>
              </w:rPr>
            </w:pPr>
          </w:p>
        </w:tc>
        <w:tc>
          <w:tcPr>
            <w:tcW w:w="263" w:type="pct"/>
            <w:vMerge w:val="continue"/>
            <w:tcBorders>
              <w:top w:val="single" w:color="auto" w:sz="4" w:space="0"/>
              <w:bottom w:val="single" w:color="auto" w:sz="4" w:space="0"/>
            </w:tcBorders>
            <w:noWrap w:val="0"/>
            <w:vAlign w:val="center"/>
          </w:tcPr>
          <w:p w14:paraId="1BB3BB6D">
            <w:pPr>
              <w:jc w:val="center"/>
              <w:rPr>
                <w:rFonts w:hint="eastAsia" w:ascii="仿宋_GB2312" w:eastAsia="仿宋_GB2312"/>
                <w:color w:val="auto"/>
                <w:sz w:val="18"/>
                <w:szCs w:val="18"/>
              </w:rPr>
            </w:pPr>
          </w:p>
        </w:tc>
        <w:tc>
          <w:tcPr>
            <w:tcW w:w="415" w:type="pct"/>
            <w:vMerge w:val="continue"/>
            <w:noWrap w:val="0"/>
            <w:vAlign w:val="center"/>
          </w:tcPr>
          <w:p w14:paraId="6CACE7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334" w:type="pct"/>
            <w:noWrap w:val="0"/>
            <w:vAlign w:val="center"/>
          </w:tcPr>
          <w:p w14:paraId="41F0D0C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r>
              <w:rPr>
                <w:rFonts w:hint="eastAsia" w:ascii="仿宋_GB2312" w:hAnsi="宋体" w:eastAsia="仿宋_GB2312" w:cs="宋体"/>
                <w:color w:val="auto"/>
                <w:kern w:val="0"/>
                <w:sz w:val="18"/>
                <w:szCs w:val="18"/>
                <w:lang w:eastAsia="zh-CN"/>
              </w:rPr>
              <w:t>各</w:t>
            </w:r>
            <w:r>
              <w:rPr>
                <w:rFonts w:hint="eastAsia" w:ascii="仿宋_GB2312" w:hAnsi="宋体" w:eastAsia="仿宋_GB2312" w:cs="宋体"/>
                <w:color w:val="auto"/>
                <w:kern w:val="0"/>
                <w:sz w:val="18"/>
                <w:szCs w:val="18"/>
              </w:rPr>
              <w:t>区</w:t>
            </w:r>
            <w:r>
              <w:rPr>
                <w:rFonts w:hint="eastAsia" w:ascii="仿宋_GB2312" w:hAnsi="宋体" w:eastAsia="仿宋_GB2312"/>
                <w:color w:val="auto"/>
                <w:sz w:val="18"/>
                <w:szCs w:val="18"/>
                <w:lang w:eastAsia="zh-CN"/>
              </w:rPr>
              <w:t>住房城乡建设主管部门</w:t>
            </w:r>
            <w:r>
              <w:rPr>
                <w:rFonts w:hint="eastAsia" w:ascii="仿宋_GB2312" w:hAnsi="宋体" w:eastAsia="仿宋_GB2312"/>
                <w:color w:val="auto"/>
                <w:sz w:val="18"/>
                <w:szCs w:val="18"/>
              </w:rPr>
              <w:t>通报表扬</w:t>
            </w:r>
          </w:p>
        </w:tc>
        <w:tc>
          <w:tcPr>
            <w:tcW w:w="483" w:type="pct"/>
            <w:tcBorders>
              <w:bottom w:val="single" w:color="auto" w:sz="4" w:space="0"/>
            </w:tcBorders>
            <w:noWrap w:val="0"/>
            <w:vAlign w:val="center"/>
          </w:tcPr>
          <w:p w14:paraId="557606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strike/>
                <w:color w:val="auto"/>
                <w:sz w:val="18"/>
                <w:szCs w:val="18"/>
              </w:rPr>
            </w:pPr>
            <w:r>
              <w:rPr>
                <w:rFonts w:hint="eastAsia" w:ascii="仿宋_GB2312" w:hAnsi="宋体" w:eastAsia="仿宋_GB2312"/>
                <w:color w:val="auto"/>
                <w:sz w:val="18"/>
                <w:szCs w:val="18"/>
                <w:lang w:eastAsia="zh-CN"/>
              </w:rPr>
              <w:t>每次</w:t>
            </w:r>
            <w:r>
              <w:rPr>
                <w:rFonts w:hint="eastAsia" w:ascii="仿宋_GB2312" w:hAnsi="宋体" w:eastAsia="仿宋_GB2312"/>
                <w:color w:val="auto"/>
                <w:sz w:val="18"/>
                <w:szCs w:val="18"/>
              </w:rPr>
              <w:t>加</w:t>
            </w:r>
            <w:r>
              <w:rPr>
                <w:rFonts w:hint="eastAsia" w:ascii="仿宋_GB2312" w:hAnsi="宋体" w:eastAsia="仿宋_GB2312"/>
                <w:color w:val="auto"/>
                <w:sz w:val="18"/>
                <w:szCs w:val="18"/>
                <w:lang w:val="en-US" w:eastAsia="zh-CN"/>
              </w:rPr>
              <w:t>5</w:t>
            </w:r>
            <w:r>
              <w:rPr>
                <w:rFonts w:hint="eastAsia" w:ascii="仿宋_GB2312" w:hAnsi="宋体" w:eastAsia="仿宋_GB2312"/>
                <w:color w:val="auto"/>
                <w:sz w:val="18"/>
                <w:szCs w:val="18"/>
              </w:rPr>
              <w:t>分</w:t>
            </w:r>
          </w:p>
        </w:tc>
        <w:tc>
          <w:tcPr>
            <w:tcW w:w="276" w:type="pct"/>
            <w:vMerge w:val="continue"/>
            <w:tcBorders>
              <w:bottom w:val="single" w:color="auto" w:sz="4" w:space="0"/>
            </w:tcBorders>
            <w:noWrap w:val="0"/>
            <w:vAlign w:val="center"/>
          </w:tcPr>
          <w:p w14:paraId="7BEA53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1090" w:type="pct"/>
            <w:vMerge w:val="continue"/>
            <w:tcBorders>
              <w:top w:val="nil"/>
              <w:bottom w:val="single" w:color="auto" w:sz="4" w:space="0"/>
            </w:tcBorders>
            <w:noWrap w:val="0"/>
            <w:vAlign w:val="center"/>
          </w:tcPr>
          <w:p w14:paraId="0EF6676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p>
        </w:tc>
        <w:tc>
          <w:tcPr>
            <w:tcW w:w="374" w:type="pct"/>
            <w:vMerge w:val="continue"/>
            <w:tcBorders>
              <w:bottom w:val="single" w:color="auto" w:sz="4" w:space="0"/>
            </w:tcBorders>
            <w:noWrap w:val="0"/>
            <w:vAlign w:val="center"/>
          </w:tcPr>
          <w:p w14:paraId="10FA2E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622" w:type="pct"/>
            <w:vMerge w:val="continue"/>
            <w:tcBorders>
              <w:bottom w:val="single" w:color="auto" w:sz="4" w:space="0"/>
            </w:tcBorders>
            <w:noWrap w:val="0"/>
            <w:vAlign w:val="center"/>
          </w:tcPr>
          <w:p w14:paraId="5F100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r>
      <w:tr w14:paraId="4853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1" w:hRule="atLeast"/>
          <w:jc w:val="center"/>
        </w:trPr>
        <w:tc>
          <w:tcPr>
            <w:tcW w:w="137" w:type="pct"/>
            <w:noWrap w:val="0"/>
            <w:vAlign w:val="center"/>
          </w:tcPr>
          <w:p w14:paraId="3E17BF43">
            <w:pPr>
              <w:numPr>
                <w:ilvl w:val="0"/>
                <w:numId w:val="1"/>
              </w:numPr>
              <w:ind w:left="0" w:leftChars="0" w:firstLine="0" w:firstLineChars="0"/>
              <w:jc w:val="center"/>
              <w:rPr>
                <w:rFonts w:hint="eastAsia" w:ascii="仿宋_GB2312" w:eastAsia="仿宋_GB2312"/>
                <w:b/>
                <w:color w:val="auto"/>
                <w:sz w:val="18"/>
                <w:szCs w:val="18"/>
                <w:lang w:val="en-US" w:eastAsia="zh-CN"/>
              </w:rPr>
            </w:pPr>
          </w:p>
        </w:tc>
        <w:tc>
          <w:tcPr>
            <w:tcW w:w="263" w:type="pct"/>
            <w:noWrap w:val="0"/>
            <w:vAlign w:val="center"/>
          </w:tcPr>
          <w:p w14:paraId="1AC764CE">
            <w:pPr>
              <w:jc w:val="center"/>
              <w:rPr>
                <w:rFonts w:hint="eastAsia" w:ascii="仿宋_GB2312" w:eastAsia="仿宋_GB2312"/>
                <w:b/>
                <w:color w:val="auto"/>
                <w:sz w:val="18"/>
                <w:szCs w:val="18"/>
              </w:rPr>
            </w:pPr>
            <w:r>
              <w:rPr>
                <w:rFonts w:hint="eastAsia" w:ascii="仿宋_GB2312" w:eastAsia="仿宋_GB2312"/>
                <w:b/>
                <w:color w:val="auto"/>
                <w:sz w:val="18"/>
                <w:szCs w:val="18"/>
              </w:rPr>
              <w:t>抢险</w:t>
            </w:r>
          </w:p>
          <w:p w14:paraId="1680338D">
            <w:pPr>
              <w:jc w:val="center"/>
              <w:rPr>
                <w:rFonts w:hint="eastAsia" w:ascii="仿宋_GB2312" w:eastAsia="仿宋_GB2312"/>
                <w:b/>
                <w:color w:val="auto"/>
                <w:sz w:val="18"/>
                <w:szCs w:val="18"/>
              </w:rPr>
            </w:pPr>
            <w:r>
              <w:rPr>
                <w:rFonts w:hint="eastAsia" w:ascii="仿宋_GB2312" w:eastAsia="仿宋_GB2312"/>
                <w:b/>
                <w:color w:val="auto"/>
                <w:sz w:val="18"/>
                <w:szCs w:val="18"/>
              </w:rPr>
              <w:t>救灾</w:t>
            </w:r>
          </w:p>
          <w:p w14:paraId="168BBBE1">
            <w:pPr>
              <w:jc w:val="center"/>
              <w:rPr>
                <w:rFonts w:hint="eastAsia" w:ascii="仿宋_GB2312" w:eastAsia="仿宋_GB2312"/>
                <w:b/>
                <w:color w:val="auto"/>
                <w:sz w:val="18"/>
                <w:szCs w:val="18"/>
              </w:rPr>
            </w:pPr>
            <w:r>
              <w:rPr>
                <w:rFonts w:hint="eastAsia" w:ascii="仿宋_GB2312" w:eastAsia="仿宋_GB2312"/>
                <w:b/>
                <w:color w:val="auto"/>
                <w:sz w:val="18"/>
                <w:szCs w:val="18"/>
              </w:rPr>
              <w:t>援建</w:t>
            </w:r>
          </w:p>
          <w:p w14:paraId="256D2784">
            <w:pPr>
              <w:jc w:val="center"/>
              <w:rPr>
                <w:rFonts w:hint="eastAsia" w:ascii="仿宋_GB2312" w:eastAsia="仿宋_GB2312"/>
                <w:b/>
                <w:color w:val="auto"/>
                <w:sz w:val="18"/>
                <w:szCs w:val="18"/>
              </w:rPr>
            </w:pPr>
            <w:r>
              <w:rPr>
                <w:rFonts w:hint="eastAsia" w:ascii="仿宋_GB2312" w:eastAsia="仿宋_GB2312"/>
                <w:b/>
                <w:color w:val="auto"/>
                <w:sz w:val="18"/>
                <w:szCs w:val="18"/>
              </w:rPr>
              <w:t>加分</w:t>
            </w:r>
          </w:p>
        </w:tc>
        <w:tc>
          <w:tcPr>
            <w:tcW w:w="415" w:type="pct"/>
            <w:noWrap w:val="0"/>
            <w:vAlign w:val="center"/>
          </w:tcPr>
          <w:p w14:paraId="69ABB9C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r>
              <w:rPr>
                <w:rFonts w:hint="eastAsia" w:ascii="仿宋_GB2312" w:eastAsia="仿宋_GB2312"/>
                <w:color w:val="auto"/>
                <w:sz w:val="18"/>
                <w:szCs w:val="18"/>
                <w:lang w:eastAsia="zh-CN"/>
              </w:rPr>
              <w:t>参与住房城乡建设主管部门</w:t>
            </w:r>
            <w:r>
              <w:rPr>
                <w:rFonts w:hint="eastAsia" w:ascii="仿宋_GB2312" w:eastAsia="仿宋_GB2312"/>
                <w:color w:val="auto"/>
                <w:sz w:val="18"/>
                <w:szCs w:val="18"/>
              </w:rPr>
              <w:t>组织的各类救灾抢险活动</w:t>
            </w:r>
          </w:p>
        </w:tc>
        <w:tc>
          <w:tcPr>
            <w:tcW w:w="1818" w:type="pct"/>
            <w:gridSpan w:val="2"/>
            <w:noWrap w:val="0"/>
            <w:vAlign w:val="center"/>
          </w:tcPr>
          <w:p w14:paraId="1D67729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sz w:val="18"/>
                <w:szCs w:val="18"/>
                <w:lang w:eastAsia="zh-CN"/>
              </w:rPr>
            </w:pPr>
            <w:r>
              <w:rPr>
                <w:rFonts w:hint="eastAsia" w:ascii="仿宋_GB2312" w:hAnsi="仿宋_GB2312" w:eastAsia="仿宋_GB2312" w:cs="仿宋_GB2312"/>
                <w:color w:val="auto"/>
                <w:sz w:val="18"/>
                <w:szCs w:val="18"/>
                <w:lang w:eastAsia="zh-CN"/>
              </w:rPr>
              <w:t>企业提供各类或大型抢险救灾设备的，每次加5～10分；</w:t>
            </w:r>
          </w:p>
          <w:p w14:paraId="0FA70DF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企业承办</w:t>
            </w:r>
            <w:r>
              <w:rPr>
                <w:rFonts w:hint="eastAsia" w:ascii="仿宋_GB2312" w:hAnsi="仿宋_GB2312" w:eastAsia="仿宋_GB2312" w:cs="仿宋_GB2312"/>
                <w:color w:val="auto"/>
                <w:sz w:val="18"/>
                <w:szCs w:val="18"/>
                <w:lang w:eastAsia="zh-CN"/>
              </w:rPr>
              <w:t>住房城乡建设主管部门</w:t>
            </w:r>
            <w:r>
              <w:rPr>
                <w:rFonts w:hint="eastAsia" w:ascii="仿宋_GB2312" w:hAnsi="仿宋_GB2312" w:eastAsia="仿宋_GB2312" w:cs="仿宋_GB2312"/>
                <w:color w:val="auto"/>
                <w:sz w:val="18"/>
                <w:szCs w:val="18"/>
              </w:rPr>
              <w:t>组织的各项演练活动的，每次加</w:t>
            </w:r>
            <w:r>
              <w:rPr>
                <w:rFonts w:hint="eastAsia" w:ascii="仿宋_GB2312" w:hAnsi="仿宋_GB2312" w:eastAsia="仿宋_GB2312" w:cs="仿宋_GB2312"/>
                <w:color w:val="auto"/>
                <w:sz w:val="18"/>
                <w:szCs w:val="18"/>
                <w:lang w:val="en-US" w:eastAsia="zh-CN"/>
              </w:rPr>
              <w:t>5</w:t>
            </w:r>
            <w:r>
              <w:rPr>
                <w:rFonts w:hint="eastAsia" w:ascii="仿宋_GB2312" w:hAnsi="仿宋_GB2312" w:eastAsia="仿宋_GB2312" w:cs="仿宋_GB2312"/>
                <w:color w:val="auto"/>
                <w:sz w:val="18"/>
                <w:szCs w:val="18"/>
              </w:rPr>
              <w:t>分；</w:t>
            </w:r>
          </w:p>
          <w:p w14:paraId="3B1F540A">
            <w:pPr>
              <w:keepNext w:val="0"/>
              <w:keepLines w:val="0"/>
              <w:pageBreakBefore w:val="0"/>
              <w:widowControl w:val="0"/>
              <w:kinsoku/>
              <w:wordWrap/>
              <w:overflowPunct/>
              <w:topLinePunct w:val="0"/>
              <w:autoSpaceDE/>
              <w:autoSpaceDN/>
              <w:bidi w:val="0"/>
              <w:adjustRightInd/>
              <w:snapToGrid/>
              <w:spacing w:line="240" w:lineRule="exact"/>
              <w:textAlignment w:val="auto"/>
              <w:rPr>
                <w:color w:val="auto"/>
                <w:sz w:val="18"/>
                <w:szCs w:val="18"/>
              </w:rPr>
            </w:pPr>
            <w:r>
              <w:rPr>
                <w:rFonts w:hint="eastAsia" w:ascii="仿宋_GB2312" w:hAnsi="仿宋_GB2312" w:eastAsia="仿宋_GB2312" w:cs="仿宋_GB2312"/>
                <w:color w:val="auto"/>
                <w:sz w:val="18"/>
                <w:szCs w:val="18"/>
              </w:rPr>
              <w:t>企业参与</w:t>
            </w:r>
            <w:r>
              <w:rPr>
                <w:rFonts w:hint="eastAsia" w:ascii="仿宋_GB2312" w:hAnsi="仿宋_GB2312" w:eastAsia="仿宋_GB2312" w:cs="仿宋_GB2312"/>
                <w:color w:val="auto"/>
                <w:sz w:val="18"/>
                <w:szCs w:val="18"/>
                <w:lang w:eastAsia="zh-CN"/>
              </w:rPr>
              <w:t>住房城乡建设主管部门</w:t>
            </w:r>
            <w:r>
              <w:rPr>
                <w:rFonts w:hint="eastAsia" w:ascii="仿宋_GB2312" w:hAnsi="仿宋_GB2312" w:eastAsia="仿宋_GB2312" w:cs="仿宋_GB2312"/>
                <w:color w:val="auto"/>
                <w:sz w:val="18"/>
                <w:szCs w:val="18"/>
              </w:rPr>
              <w:t>组织的各类抢险救灾活动的，每次加1</w:t>
            </w:r>
            <w:r>
              <w:rPr>
                <w:rFonts w:hint="eastAsia" w:ascii="仿宋_GB2312" w:hAnsi="仿宋_GB2312" w:eastAsia="仿宋_GB2312" w:cs="仿宋_GB2312"/>
                <w:color w:val="auto"/>
                <w:sz w:val="18"/>
                <w:szCs w:val="18"/>
                <w:lang w:eastAsia="zh-CN"/>
              </w:rPr>
              <w:t>～</w:t>
            </w:r>
            <w:r>
              <w:rPr>
                <w:rFonts w:hint="eastAsia" w:ascii="仿宋_GB2312" w:hAnsi="仿宋_GB2312" w:eastAsia="仿宋_GB2312" w:cs="仿宋_GB2312"/>
                <w:color w:val="auto"/>
                <w:sz w:val="18"/>
                <w:szCs w:val="18"/>
                <w:lang w:val="en-US" w:eastAsia="zh-CN"/>
              </w:rPr>
              <w:t>5</w:t>
            </w:r>
            <w:r>
              <w:rPr>
                <w:rFonts w:hint="eastAsia" w:ascii="仿宋_GB2312" w:hAnsi="仿宋_GB2312" w:eastAsia="仿宋_GB2312" w:cs="仿宋_GB2312"/>
                <w:color w:val="auto"/>
                <w:sz w:val="18"/>
                <w:szCs w:val="18"/>
              </w:rPr>
              <w:t>分；</w:t>
            </w:r>
          </w:p>
          <w:p w14:paraId="7176D51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color w:val="auto"/>
                <w:sz w:val="18"/>
                <w:szCs w:val="18"/>
                <w:lang w:eastAsia="zh-CN"/>
              </w:rPr>
            </w:pPr>
            <w:r>
              <w:rPr>
                <w:rFonts w:hint="eastAsia" w:ascii="仿宋_GB2312" w:hAnsi="仿宋_GB2312" w:eastAsia="仿宋_GB2312" w:cs="仿宋_GB2312"/>
                <w:color w:val="auto"/>
                <w:sz w:val="18"/>
                <w:szCs w:val="18"/>
                <w:lang w:eastAsia="zh-CN"/>
              </w:rPr>
              <w:t>作出重大贡献的，可由市住房城乡建设主管部门予以通报表扬加分</w:t>
            </w:r>
          </w:p>
        </w:tc>
        <w:tc>
          <w:tcPr>
            <w:tcW w:w="276" w:type="pct"/>
            <w:noWrap w:val="0"/>
            <w:vAlign w:val="center"/>
          </w:tcPr>
          <w:p w14:paraId="418CE4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r>
              <w:rPr>
                <w:rFonts w:hint="eastAsia" w:ascii="仿宋_GB2312" w:eastAsia="仿宋_GB2312"/>
                <w:color w:val="auto"/>
                <w:sz w:val="18"/>
                <w:szCs w:val="18"/>
              </w:rPr>
              <w:t>1年</w:t>
            </w:r>
          </w:p>
        </w:tc>
        <w:tc>
          <w:tcPr>
            <w:tcW w:w="1090" w:type="pct"/>
            <w:noWrap w:val="0"/>
            <w:vAlign w:val="center"/>
          </w:tcPr>
          <w:p w14:paraId="3E8287B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r>
              <w:rPr>
                <w:rFonts w:hint="eastAsia" w:ascii="仿宋_GB2312" w:eastAsia="仿宋_GB2312"/>
                <w:color w:val="auto"/>
                <w:sz w:val="18"/>
                <w:szCs w:val="18"/>
              </w:rPr>
              <w:t>以</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确认为准</w:t>
            </w:r>
          </w:p>
        </w:tc>
        <w:tc>
          <w:tcPr>
            <w:tcW w:w="374" w:type="pct"/>
            <w:noWrap w:val="0"/>
            <w:vAlign w:val="center"/>
          </w:tcPr>
          <w:p w14:paraId="322B4B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lang w:eastAsia="zh-CN"/>
              </w:rPr>
            </w:pPr>
            <w:r>
              <w:rPr>
                <w:rFonts w:hint="eastAsia" w:ascii="仿宋_GB2312" w:hAnsi="宋体" w:eastAsia="仿宋_GB2312"/>
                <w:color w:val="auto"/>
                <w:sz w:val="18"/>
                <w:szCs w:val="18"/>
                <w:lang w:eastAsia="zh-CN"/>
              </w:rPr>
              <w:t>所有企业类别</w:t>
            </w:r>
          </w:p>
        </w:tc>
        <w:tc>
          <w:tcPr>
            <w:tcW w:w="622" w:type="pct"/>
            <w:vMerge w:val="restart"/>
            <w:noWrap w:val="0"/>
            <w:vAlign w:val="center"/>
          </w:tcPr>
          <w:p w14:paraId="0E85CE7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lang w:eastAsia="zh-CN"/>
              </w:rPr>
            </w:pPr>
            <w:r>
              <w:rPr>
                <w:rFonts w:hint="eastAsia" w:ascii="仿宋_GB2312" w:eastAsia="仿宋_GB2312"/>
                <w:color w:val="auto"/>
                <w:sz w:val="18"/>
                <w:szCs w:val="18"/>
              </w:rPr>
              <w:t>市</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组织的，由市</w:t>
            </w:r>
            <w:r>
              <w:rPr>
                <w:rFonts w:hint="eastAsia" w:ascii="仿宋_GB2312" w:eastAsia="仿宋_GB2312"/>
                <w:color w:val="auto"/>
                <w:sz w:val="18"/>
                <w:szCs w:val="18"/>
                <w:lang w:eastAsia="zh-CN"/>
              </w:rPr>
              <w:t>住房城乡建设主管部门负责登记</w:t>
            </w:r>
            <w:r>
              <w:rPr>
                <w:rFonts w:hint="eastAsia" w:ascii="仿宋_GB2312" w:eastAsia="仿宋_GB2312"/>
                <w:color w:val="auto"/>
                <w:sz w:val="18"/>
                <w:szCs w:val="18"/>
              </w:rPr>
              <w:t>；各区</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组织的，由区</w:t>
            </w:r>
            <w:r>
              <w:rPr>
                <w:rFonts w:hint="eastAsia" w:ascii="仿宋_GB2312" w:eastAsia="仿宋_GB2312"/>
                <w:color w:val="auto"/>
                <w:sz w:val="18"/>
                <w:szCs w:val="18"/>
                <w:lang w:eastAsia="zh-CN"/>
              </w:rPr>
              <w:t>住房城乡建设主管部门负责登记</w:t>
            </w:r>
          </w:p>
        </w:tc>
      </w:tr>
      <w:tr w14:paraId="2124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1" w:hRule="atLeast"/>
          <w:jc w:val="center"/>
        </w:trPr>
        <w:tc>
          <w:tcPr>
            <w:tcW w:w="137" w:type="pct"/>
            <w:noWrap w:val="0"/>
            <w:vAlign w:val="center"/>
          </w:tcPr>
          <w:p w14:paraId="1166E2F8">
            <w:pPr>
              <w:numPr>
                <w:ilvl w:val="0"/>
                <w:numId w:val="1"/>
              </w:numPr>
              <w:ind w:left="0" w:leftChars="0" w:firstLine="0" w:firstLineChars="0"/>
              <w:jc w:val="center"/>
              <w:rPr>
                <w:rFonts w:hint="eastAsia" w:ascii="仿宋_GB2312" w:eastAsia="仿宋_GB2312"/>
                <w:b/>
                <w:color w:val="auto"/>
                <w:sz w:val="18"/>
                <w:szCs w:val="18"/>
                <w:lang w:val="en-US" w:eastAsia="zh-CN"/>
              </w:rPr>
            </w:pPr>
          </w:p>
        </w:tc>
        <w:tc>
          <w:tcPr>
            <w:tcW w:w="263" w:type="pct"/>
            <w:noWrap w:val="0"/>
            <w:vAlign w:val="center"/>
          </w:tcPr>
          <w:p w14:paraId="23F27D45">
            <w:pPr>
              <w:jc w:val="center"/>
              <w:rPr>
                <w:rFonts w:hint="eastAsia" w:ascii="仿宋_GB2312" w:eastAsia="仿宋_GB2312"/>
                <w:b/>
                <w:color w:val="auto"/>
                <w:sz w:val="18"/>
                <w:szCs w:val="18"/>
              </w:rPr>
            </w:pPr>
            <w:r>
              <w:rPr>
                <w:rFonts w:hint="eastAsia" w:ascii="仿宋_GB2312" w:eastAsia="仿宋_GB2312"/>
                <w:b/>
                <w:color w:val="auto"/>
                <w:sz w:val="18"/>
                <w:szCs w:val="18"/>
              </w:rPr>
              <w:t>担任</w:t>
            </w:r>
          </w:p>
          <w:p w14:paraId="2752D413">
            <w:pPr>
              <w:jc w:val="center"/>
              <w:rPr>
                <w:rFonts w:hint="eastAsia" w:ascii="仿宋_GB2312" w:eastAsia="仿宋_GB2312"/>
                <w:b/>
                <w:color w:val="auto"/>
                <w:sz w:val="18"/>
                <w:szCs w:val="18"/>
              </w:rPr>
            </w:pPr>
            <w:r>
              <w:rPr>
                <w:rFonts w:hint="eastAsia" w:ascii="仿宋_GB2312" w:eastAsia="仿宋_GB2312"/>
                <w:b/>
                <w:color w:val="auto"/>
                <w:sz w:val="18"/>
                <w:szCs w:val="18"/>
              </w:rPr>
              <w:t>专家</w:t>
            </w:r>
          </w:p>
          <w:p w14:paraId="382978DF">
            <w:pPr>
              <w:jc w:val="center"/>
              <w:rPr>
                <w:rFonts w:hint="eastAsia" w:ascii="仿宋_GB2312" w:eastAsia="仿宋_GB2312"/>
                <w:b/>
                <w:color w:val="auto"/>
                <w:sz w:val="18"/>
                <w:szCs w:val="18"/>
              </w:rPr>
            </w:pPr>
            <w:r>
              <w:rPr>
                <w:rFonts w:hint="eastAsia" w:ascii="仿宋_GB2312" w:eastAsia="仿宋_GB2312"/>
                <w:b/>
                <w:color w:val="auto"/>
                <w:sz w:val="18"/>
                <w:szCs w:val="18"/>
              </w:rPr>
              <w:t>工作</w:t>
            </w:r>
          </w:p>
          <w:p w14:paraId="63137FF0">
            <w:pPr>
              <w:jc w:val="center"/>
              <w:rPr>
                <w:rFonts w:hint="eastAsia" w:ascii="仿宋_GB2312" w:eastAsia="仿宋_GB2312"/>
                <w:b/>
                <w:color w:val="auto"/>
                <w:sz w:val="18"/>
                <w:szCs w:val="18"/>
              </w:rPr>
            </w:pPr>
            <w:r>
              <w:rPr>
                <w:rFonts w:hint="eastAsia" w:ascii="仿宋_GB2312" w:eastAsia="仿宋_GB2312"/>
                <w:b/>
                <w:color w:val="auto"/>
                <w:sz w:val="18"/>
                <w:szCs w:val="18"/>
              </w:rPr>
              <w:t>加分</w:t>
            </w:r>
          </w:p>
        </w:tc>
        <w:tc>
          <w:tcPr>
            <w:tcW w:w="415" w:type="pct"/>
            <w:noWrap w:val="0"/>
            <w:vAlign w:val="center"/>
          </w:tcPr>
          <w:p w14:paraId="0D9EB93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r>
              <w:rPr>
                <w:rFonts w:hint="eastAsia" w:ascii="仿宋_GB2312" w:eastAsia="仿宋_GB2312"/>
                <w:color w:val="auto"/>
                <w:sz w:val="18"/>
                <w:szCs w:val="18"/>
              </w:rPr>
              <w:t>委派相关人员担任</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专家工作的</w:t>
            </w:r>
          </w:p>
        </w:tc>
        <w:tc>
          <w:tcPr>
            <w:tcW w:w="1818" w:type="pct"/>
            <w:gridSpan w:val="2"/>
            <w:noWrap w:val="0"/>
            <w:vAlign w:val="center"/>
          </w:tcPr>
          <w:p w14:paraId="4679BE66">
            <w:pPr>
              <w:keepNext w:val="0"/>
              <w:keepLines w:val="0"/>
              <w:pageBreakBefore w:val="0"/>
              <w:widowControl w:val="0"/>
              <w:kinsoku/>
              <w:wordWrap/>
              <w:overflowPunct/>
              <w:topLinePunct w:val="0"/>
              <w:autoSpaceDE/>
              <w:autoSpaceDN/>
              <w:bidi w:val="0"/>
              <w:adjustRightInd/>
              <w:snapToGrid/>
              <w:spacing w:line="240" w:lineRule="exact"/>
              <w:textAlignment w:val="auto"/>
              <w:rPr>
                <w:rFonts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企业委派相关人员担任专家参加市、区</w:t>
            </w:r>
            <w:r>
              <w:rPr>
                <w:rFonts w:hint="eastAsia" w:ascii="仿宋_GB2312" w:hAnsi="仿宋_GB2312" w:eastAsia="仿宋_GB2312" w:cs="仿宋_GB2312"/>
                <w:color w:val="auto"/>
                <w:sz w:val="18"/>
                <w:szCs w:val="18"/>
                <w:lang w:eastAsia="zh-CN"/>
              </w:rPr>
              <w:t>住房城乡建设主管部门</w:t>
            </w:r>
            <w:r>
              <w:rPr>
                <w:rFonts w:hint="eastAsia" w:ascii="仿宋_GB2312" w:hAnsi="仿宋_GB2312" w:eastAsia="仿宋_GB2312" w:cs="仿宋_GB2312"/>
                <w:color w:val="auto"/>
                <w:sz w:val="18"/>
                <w:szCs w:val="18"/>
              </w:rPr>
              <w:t>工作的，或受市、区</w:t>
            </w:r>
            <w:r>
              <w:rPr>
                <w:rFonts w:hint="eastAsia" w:ascii="仿宋_GB2312" w:hAnsi="仿宋_GB2312" w:eastAsia="仿宋_GB2312" w:cs="仿宋_GB2312"/>
                <w:color w:val="auto"/>
                <w:sz w:val="18"/>
                <w:szCs w:val="18"/>
                <w:lang w:eastAsia="zh-CN"/>
              </w:rPr>
              <w:t>住房城乡建设主管部门</w:t>
            </w:r>
            <w:r>
              <w:rPr>
                <w:rFonts w:hint="eastAsia" w:ascii="仿宋_GB2312" w:hAnsi="仿宋_GB2312" w:eastAsia="仿宋_GB2312" w:cs="仿宋_GB2312"/>
                <w:color w:val="auto"/>
                <w:sz w:val="18"/>
                <w:szCs w:val="18"/>
              </w:rPr>
              <w:t>委托参加其他政府部门专家工作的，每人次加1分</w:t>
            </w:r>
          </w:p>
        </w:tc>
        <w:tc>
          <w:tcPr>
            <w:tcW w:w="276" w:type="pct"/>
            <w:noWrap w:val="0"/>
            <w:vAlign w:val="center"/>
          </w:tcPr>
          <w:p w14:paraId="4AB462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r>
              <w:rPr>
                <w:rFonts w:hint="eastAsia" w:ascii="仿宋_GB2312" w:eastAsia="仿宋_GB2312"/>
                <w:color w:val="auto"/>
                <w:sz w:val="18"/>
                <w:szCs w:val="18"/>
              </w:rPr>
              <w:t>1年</w:t>
            </w:r>
          </w:p>
        </w:tc>
        <w:tc>
          <w:tcPr>
            <w:tcW w:w="1090" w:type="pct"/>
            <w:noWrap w:val="0"/>
            <w:vAlign w:val="center"/>
          </w:tcPr>
          <w:p w14:paraId="3AEDB65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r>
              <w:rPr>
                <w:rFonts w:hint="eastAsia" w:ascii="仿宋_GB2312" w:hAnsi="仿宋_GB2312" w:eastAsia="仿宋_GB2312"/>
                <w:color w:val="auto"/>
                <w:sz w:val="18"/>
                <w:szCs w:val="18"/>
              </w:rPr>
              <w:t>从</w:t>
            </w:r>
            <w:r>
              <w:rPr>
                <w:rFonts w:hint="eastAsia" w:ascii="仿宋_GB2312" w:hAnsi="仿宋_GB2312" w:eastAsia="仿宋_GB2312"/>
                <w:color w:val="auto"/>
                <w:sz w:val="18"/>
                <w:szCs w:val="18"/>
                <w:lang w:eastAsia="zh-CN"/>
              </w:rPr>
              <w:t>通报文件印发之日</w:t>
            </w:r>
            <w:r>
              <w:rPr>
                <w:rFonts w:hint="eastAsia" w:ascii="仿宋_GB2312" w:hAnsi="仿宋_GB2312" w:eastAsia="仿宋_GB2312"/>
                <w:color w:val="auto"/>
                <w:sz w:val="18"/>
                <w:szCs w:val="18"/>
              </w:rPr>
              <w:t>起计算</w:t>
            </w:r>
            <w:r>
              <w:rPr>
                <w:rFonts w:hint="eastAsia" w:ascii="仿宋_GB2312" w:hAnsi="仿宋_GB2312" w:eastAsia="仿宋_GB2312"/>
                <w:color w:val="auto"/>
                <w:sz w:val="18"/>
                <w:szCs w:val="18"/>
                <w:lang w:eastAsia="zh-CN"/>
              </w:rPr>
              <w:t>，</w:t>
            </w:r>
            <w:r>
              <w:rPr>
                <w:rFonts w:hint="eastAsia" w:ascii="仿宋_GB2312" w:hAnsi="仿宋_GB2312" w:eastAsia="仿宋_GB2312"/>
                <w:color w:val="auto"/>
                <w:sz w:val="18"/>
                <w:szCs w:val="18"/>
              </w:rPr>
              <w:t>以</w:t>
            </w:r>
            <w:r>
              <w:rPr>
                <w:rFonts w:hint="eastAsia" w:ascii="仿宋_GB2312" w:hAnsi="仿宋_GB2312" w:eastAsia="仿宋_GB2312"/>
                <w:color w:val="auto"/>
                <w:sz w:val="18"/>
                <w:szCs w:val="18"/>
                <w:lang w:eastAsia="zh-CN"/>
              </w:rPr>
              <w:t>住房城乡建设主管部门</w:t>
            </w:r>
            <w:r>
              <w:rPr>
                <w:rFonts w:hint="eastAsia" w:ascii="仿宋_GB2312" w:hAnsi="仿宋_GB2312" w:eastAsia="仿宋_GB2312"/>
                <w:color w:val="auto"/>
                <w:sz w:val="18"/>
                <w:szCs w:val="18"/>
              </w:rPr>
              <w:t>确认为准</w:t>
            </w:r>
            <w:r>
              <w:rPr>
                <w:rFonts w:hint="eastAsia" w:ascii="仿宋_GB2312" w:hAnsi="仿宋_GB2312" w:eastAsia="仿宋_GB2312"/>
                <w:color w:val="auto"/>
                <w:sz w:val="18"/>
                <w:szCs w:val="18"/>
                <w:lang w:eastAsia="zh-CN"/>
              </w:rPr>
              <w:t>，最高限加</w:t>
            </w:r>
            <w:r>
              <w:rPr>
                <w:rFonts w:hint="eastAsia" w:ascii="仿宋_GB2312" w:hAnsi="仿宋_GB2312" w:eastAsia="仿宋_GB2312"/>
                <w:color w:val="auto"/>
                <w:sz w:val="18"/>
                <w:szCs w:val="18"/>
                <w:lang w:val="en-US" w:eastAsia="zh-CN"/>
              </w:rPr>
              <w:t>10分</w:t>
            </w:r>
          </w:p>
        </w:tc>
        <w:tc>
          <w:tcPr>
            <w:tcW w:w="374" w:type="pct"/>
            <w:noWrap w:val="0"/>
            <w:vAlign w:val="center"/>
          </w:tcPr>
          <w:p w14:paraId="6F0D50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lang w:eastAsia="zh-CN"/>
              </w:rPr>
            </w:pPr>
          </w:p>
          <w:p w14:paraId="2E7638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lang w:eastAsia="zh-CN"/>
              </w:rPr>
            </w:pPr>
          </w:p>
          <w:p w14:paraId="42BD3D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lang w:eastAsia="zh-CN"/>
              </w:rPr>
            </w:pPr>
            <w:r>
              <w:rPr>
                <w:rFonts w:hint="eastAsia" w:ascii="仿宋_GB2312" w:hAnsi="宋体" w:eastAsia="仿宋_GB2312"/>
                <w:color w:val="auto"/>
                <w:sz w:val="18"/>
                <w:szCs w:val="18"/>
                <w:lang w:eastAsia="zh-CN"/>
              </w:rPr>
              <w:t>所有企业类别</w:t>
            </w:r>
          </w:p>
          <w:p w14:paraId="576AF1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lang w:eastAsia="zh-CN"/>
              </w:rPr>
            </w:pPr>
          </w:p>
          <w:p w14:paraId="083983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z w:val="18"/>
                <w:szCs w:val="18"/>
                <w:lang w:eastAsia="zh-CN"/>
              </w:rPr>
            </w:pPr>
          </w:p>
          <w:p w14:paraId="131574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p>
        </w:tc>
        <w:tc>
          <w:tcPr>
            <w:tcW w:w="622" w:type="pct"/>
            <w:vMerge w:val="continue"/>
            <w:noWrap w:val="0"/>
            <w:vAlign w:val="center"/>
          </w:tcPr>
          <w:p w14:paraId="757BA1F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p>
        </w:tc>
      </w:tr>
      <w:tr w14:paraId="2A98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1" w:hRule="atLeast"/>
          <w:jc w:val="center"/>
        </w:trPr>
        <w:tc>
          <w:tcPr>
            <w:tcW w:w="137" w:type="pct"/>
            <w:noWrap w:val="0"/>
            <w:vAlign w:val="center"/>
          </w:tcPr>
          <w:p w14:paraId="2C8104B6">
            <w:pPr>
              <w:numPr>
                <w:ilvl w:val="0"/>
                <w:numId w:val="1"/>
              </w:numPr>
              <w:ind w:left="0" w:leftChars="0" w:firstLine="0" w:firstLineChars="0"/>
              <w:jc w:val="center"/>
              <w:rPr>
                <w:rFonts w:hint="eastAsia" w:ascii="仿宋_GB2312" w:eastAsia="仿宋_GB2312"/>
                <w:b/>
                <w:color w:val="auto"/>
                <w:sz w:val="18"/>
                <w:szCs w:val="18"/>
                <w:lang w:val="en-US" w:eastAsia="zh-CN"/>
              </w:rPr>
            </w:pPr>
          </w:p>
        </w:tc>
        <w:tc>
          <w:tcPr>
            <w:tcW w:w="263" w:type="pct"/>
            <w:noWrap w:val="0"/>
            <w:vAlign w:val="center"/>
          </w:tcPr>
          <w:p w14:paraId="28D43D59">
            <w:pPr>
              <w:jc w:val="center"/>
              <w:rPr>
                <w:rFonts w:hint="eastAsia" w:ascii="仿宋_GB2312" w:eastAsia="仿宋_GB2312"/>
                <w:b/>
                <w:color w:val="auto"/>
                <w:sz w:val="18"/>
                <w:szCs w:val="18"/>
              </w:rPr>
            </w:pPr>
            <w:r>
              <w:rPr>
                <w:rFonts w:hint="eastAsia" w:ascii="仿宋_GB2312" w:eastAsia="仿宋_GB2312"/>
                <w:b/>
                <w:color w:val="auto"/>
                <w:sz w:val="18"/>
                <w:szCs w:val="18"/>
              </w:rPr>
              <w:t>参与</w:t>
            </w:r>
          </w:p>
          <w:p w14:paraId="2B63E7D4">
            <w:pPr>
              <w:jc w:val="center"/>
              <w:rPr>
                <w:rFonts w:hint="eastAsia" w:ascii="仿宋_GB2312" w:eastAsia="仿宋_GB2312"/>
                <w:b/>
                <w:color w:val="auto"/>
                <w:sz w:val="18"/>
                <w:szCs w:val="18"/>
              </w:rPr>
            </w:pPr>
            <w:r>
              <w:rPr>
                <w:rFonts w:hint="eastAsia" w:ascii="仿宋_GB2312" w:eastAsia="仿宋_GB2312"/>
                <w:b/>
                <w:color w:val="auto"/>
                <w:sz w:val="18"/>
                <w:szCs w:val="18"/>
              </w:rPr>
              <w:t>公益</w:t>
            </w:r>
          </w:p>
          <w:p w14:paraId="632CAF9A">
            <w:pPr>
              <w:jc w:val="center"/>
              <w:rPr>
                <w:rFonts w:hint="eastAsia" w:ascii="仿宋_GB2312" w:eastAsia="仿宋_GB2312"/>
                <w:b/>
                <w:color w:val="auto"/>
                <w:sz w:val="18"/>
                <w:szCs w:val="18"/>
              </w:rPr>
            </w:pPr>
            <w:r>
              <w:rPr>
                <w:rFonts w:hint="eastAsia" w:ascii="仿宋_GB2312" w:eastAsia="仿宋_GB2312"/>
                <w:b/>
                <w:color w:val="auto"/>
                <w:sz w:val="18"/>
                <w:szCs w:val="18"/>
              </w:rPr>
              <w:t>活动</w:t>
            </w:r>
          </w:p>
          <w:p w14:paraId="11235D52">
            <w:pPr>
              <w:jc w:val="center"/>
              <w:rPr>
                <w:rFonts w:hint="eastAsia" w:ascii="仿宋_GB2312" w:eastAsia="仿宋_GB2312"/>
                <w:b/>
                <w:color w:val="auto"/>
                <w:sz w:val="18"/>
                <w:szCs w:val="18"/>
              </w:rPr>
            </w:pPr>
            <w:r>
              <w:rPr>
                <w:rFonts w:hint="eastAsia" w:ascii="仿宋_GB2312" w:eastAsia="仿宋_GB2312"/>
                <w:b/>
                <w:color w:val="auto"/>
                <w:sz w:val="18"/>
                <w:szCs w:val="18"/>
              </w:rPr>
              <w:t>加分</w:t>
            </w:r>
          </w:p>
        </w:tc>
        <w:tc>
          <w:tcPr>
            <w:tcW w:w="415" w:type="pct"/>
            <w:noWrap w:val="0"/>
            <w:vAlign w:val="center"/>
          </w:tcPr>
          <w:p w14:paraId="1288F3C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pacing w:val="-6"/>
                <w:sz w:val="18"/>
                <w:szCs w:val="18"/>
              </w:rPr>
              <w:t>由</w:t>
            </w:r>
            <w:r>
              <w:rPr>
                <w:rFonts w:hint="eastAsia" w:ascii="仿宋_GB2312" w:eastAsia="仿宋_GB2312"/>
                <w:color w:val="auto"/>
                <w:spacing w:val="-6"/>
                <w:sz w:val="18"/>
                <w:szCs w:val="18"/>
                <w:lang w:eastAsia="zh-CN"/>
              </w:rPr>
              <w:t>住房城乡建设主管部门组织</w:t>
            </w:r>
            <w:r>
              <w:rPr>
                <w:rFonts w:hint="eastAsia" w:ascii="仿宋_GB2312" w:eastAsia="仿宋_GB2312"/>
                <w:color w:val="auto"/>
                <w:spacing w:val="-6"/>
                <w:sz w:val="18"/>
                <w:szCs w:val="18"/>
              </w:rPr>
              <w:t>的公益活动</w:t>
            </w:r>
          </w:p>
        </w:tc>
        <w:tc>
          <w:tcPr>
            <w:tcW w:w="1818" w:type="pct"/>
            <w:gridSpan w:val="2"/>
            <w:noWrap w:val="0"/>
            <w:vAlign w:val="center"/>
          </w:tcPr>
          <w:p w14:paraId="5B5BAD29">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sz w:val="18"/>
                <w:szCs w:val="18"/>
              </w:rPr>
              <w:t>企业参与</w:t>
            </w:r>
            <w:r>
              <w:rPr>
                <w:rFonts w:hint="eastAsia" w:ascii="仿宋_GB2312" w:hAnsi="仿宋_GB2312" w:eastAsia="仿宋_GB2312" w:cs="仿宋_GB2312"/>
                <w:color w:val="auto"/>
                <w:sz w:val="18"/>
                <w:szCs w:val="18"/>
                <w:lang w:eastAsia="zh-CN"/>
              </w:rPr>
              <w:t>住房城乡建设主管部门</w:t>
            </w:r>
            <w:r>
              <w:rPr>
                <w:rFonts w:hint="eastAsia" w:ascii="仿宋_GB2312" w:hAnsi="仿宋_GB2312" w:eastAsia="仿宋_GB2312" w:cs="仿宋_GB2312"/>
                <w:color w:val="auto"/>
                <w:sz w:val="18"/>
                <w:szCs w:val="18"/>
              </w:rPr>
              <w:t>组织的公益活动每次加1</w:t>
            </w:r>
            <w:r>
              <w:rPr>
                <w:rFonts w:hint="eastAsia" w:ascii="仿宋_GB2312" w:hAnsi="仿宋_GB2312" w:eastAsia="仿宋_GB2312" w:cs="仿宋_GB2312"/>
                <w:color w:val="auto"/>
                <w:sz w:val="18"/>
                <w:szCs w:val="18"/>
                <w:lang w:eastAsia="zh-CN"/>
              </w:rPr>
              <w:t>～</w:t>
            </w:r>
            <w:r>
              <w:rPr>
                <w:rFonts w:hint="eastAsia" w:ascii="仿宋_GB2312" w:hAnsi="仿宋_GB2312" w:eastAsia="仿宋_GB2312" w:cs="仿宋_GB2312"/>
                <w:color w:val="auto"/>
                <w:sz w:val="18"/>
                <w:szCs w:val="18"/>
                <w:lang w:val="en-US" w:eastAsia="zh-CN"/>
              </w:rPr>
              <w:t>5</w:t>
            </w:r>
            <w:r>
              <w:rPr>
                <w:rFonts w:hint="eastAsia" w:ascii="仿宋_GB2312" w:hAnsi="仿宋_GB2312" w:eastAsia="仿宋_GB2312" w:cs="仿宋_GB2312"/>
                <w:color w:val="auto"/>
                <w:sz w:val="18"/>
                <w:szCs w:val="18"/>
              </w:rPr>
              <w:t>分</w:t>
            </w:r>
            <w:r>
              <w:rPr>
                <w:rFonts w:hint="eastAsia" w:ascii="仿宋_GB2312" w:hAnsi="仿宋_GB2312" w:eastAsia="仿宋_GB2312" w:cs="仿宋_GB2312"/>
                <w:color w:val="auto"/>
                <w:sz w:val="18"/>
                <w:szCs w:val="18"/>
                <w:lang w:eastAsia="zh-CN"/>
              </w:rPr>
              <w:t>（加分上限</w:t>
            </w:r>
            <w:r>
              <w:rPr>
                <w:rFonts w:hint="eastAsia" w:ascii="仿宋_GB2312" w:hAnsi="仿宋_GB2312" w:eastAsia="仿宋_GB2312" w:cs="仿宋_GB2312"/>
                <w:color w:val="auto"/>
                <w:sz w:val="18"/>
                <w:szCs w:val="18"/>
                <w:lang w:val="en-US" w:eastAsia="zh-CN"/>
              </w:rPr>
              <w:t>10分</w:t>
            </w:r>
            <w:r>
              <w:rPr>
                <w:rFonts w:hint="eastAsia" w:ascii="仿宋_GB2312" w:hAnsi="仿宋_GB2312" w:eastAsia="仿宋_GB2312" w:cs="仿宋_GB2312"/>
                <w:color w:val="auto"/>
                <w:sz w:val="18"/>
                <w:szCs w:val="18"/>
                <w:lang w:eastAsia="zh-CN"/>
              </w:rPr>
              <w:t>）；</w:t>
            </w:r>
          </w:p>
          <w:p w14:paraId="42624D5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sz w:val="18"/>
                <w:szCs w:val="18"/>
                <w:lang w:eastAsia="zh-CN"/>
              </w:rPr>
            </w:pPr>
            <w:r>
              <w:rPr>
                <w:rFonts w:hint="eastAsia" w:ascii="仿宋_GB2312" w:hAnsi="仿宋_GB2312" w:eastAsia="仿宋_GB2312" w:cs="仿宋_GB2312"/>
                <w:color w:val="auto"/>
                <w:sz w:val="18"/>
                <w:szCs w:val="18"/>
                <w:lang w:eastAsia="zh-CN"/>
              </w:rPr>
              <w:t>作出重大贡献的，可由市住房城乡建设主管部门予以每年</w:t>
            </w:r>
            <w:r>
              <w:rPr>
                <w:rFonts w:hint="eastAsia" w:ascii="仿宋_GB2312" w:hAnsi="仿宋_GB2312" w:eastAsia="仿宋_GB2312" w:cs="仿宋_GB2312"/>
                <w:color w:val="auto"/>
                <w:sz w:val="18"/>
                <w:szCs w:val="18"/>
                <w:lang w:val="en-US" w:eastAsia="zh-CN"/>
              </w:rPr>
              <w:t>1次</w:t>
            </w:r>
            <w:r>
              <w:rPr>
                <w:rFonts w:hint="eastAsia" w:ascii="仿宋_GB2312" w:hAnsi="仿宋_GB2312" w:eastAsia="仿宋_GB2312" w:cs="仿宋_GB2312"/>
                <w:color w:val="auto"/>
                <w:sz w:val="18"/>
                <w:szCs w:val="18"/>
                <w:lang w:eastAsia="zh-CN"/>
              </w:rPr>
              <w:t>通报表扬加分</w:t>
            </w:r>
          </w:p>
        </w:tc>
        <w:tc>
          <w:tcPr>
            <w:tcW w:w="276" w:type="pct"/>
            <w:noWrap w:val="0"/>
            <w:vAlign w:val="center"/>
          </w:tcPr>
          <w:p w14:paraId="6A34E9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r>
              <w:rPr>
                <w:rFonts w:hint="eastAsia" w:ascii="仿宋_GB2312" w:eastAsia="仿宋_GB2312"/>
                <w:color w:val="auto"/>
                <w:sz w:val="18"/>
                <w:szCs w:val="18"/>
              </w:rPr>
              <w:t>1年</w:t>
            </w:r>
          </w:p>
        </w:tc>
        <w:tc>
          <w:tcPr>
            <w:tcW w:w="1090" w:type="pct"/>
            <w:noWrap w:val="0"/>
            <w:vAlign w:val="center"/>
          </w:tcPr>
          <w:p w14:paraId="37287C7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lang w:eastAsia="zh-CN"/>
              </w:rPr>
            </w:pPr>
            <w:r>
              <w:rPr>
                <w:rFonts w:hint="eastAsia" w:ascii="仿宋_GB2312" w:hAnsi="仿宋_GB2312" w:eastAsia="仿宋_GB2312" w:cs="仿宋_GB2312"/>
                <w:color w:val="auto"/>
                <w:sz w:val="18"/>
                <w:szCs w:val="18"/>
              </w:rPr>
              <w:t>市、区级</w:t>
            </w:r>
            <w:r>
              <w:rPr>
                <w:rFonts w:hint="eastAsia" w:ascii="仿宋_GB2312" w:hAnsi="仿宋_GB2312" w:eastAsia="仿宋_GB2312" w:cs="仿宋_GB2312"/>
                <w:color w:val="auto"/>
                <w:sz w:val="18"/>
                <w:szCs w:val="18"/>
                <w:lang w:eastAsia="zh-CN"/>
              </w:rPr>
              <w:t>住房城乡建设部门确认为准</w:t>
            </w:r>
          </w:p>
        </w:tc>
        <w:tc>
          <w:tcPr>
            <w:tcW w:w="374" w:type="pct"/>
            <w:noWrap w:val="0"/>
            <w:vAlign w:val="center"/>
          </w:tcPr>
          <w:p w14:paraId="1893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lang w:eastAsia="zh-CN"/>
              </w:rPr>
            </w:pPr>
            <w:r>
              <w:rPr>
                <w:rFonts w:hint="eastAsia" w:ascii="仿宋_GB2312" w:hAnsi="宋体" w:eastAsia="仿宋_GB2312"/>
                <w:color w:val="auto"/>
                <w:sz w:val="18"/>
                <w:szCs w:val="18"/>
                <w:lang w:eastAsia="zh-CN"/>
              </w:rPr>
              <w:t>所有企业类别</w:t>
            </w:r>
          </w:p>
        </w:tc>
        <w:tc>
          <w:tcPr>
            <w:tcW w:w="622" w:type="pct"/>
            <w:noWrap w:val="0"/>
            <w:vAlign w:val="center"/>
          </w:tcPr>
          <w:p w14:paraId="0C7AE20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z w:val="18"/>
                <w:szCs w:val="18"/>
              </w:rPr>
              <w:t>市</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组织的，由市</w:t>
            </w:r>
            <w:r>
              <w:rPr>
                <w:rFonts w:hint="eastAsia" w:ascii="仿宋_GB2312" w:eastAsia="仿宋_GB2312"/>
                <w:color w:val="auto"/>
                <w:sz w:val="18"/>
                <w:szCs w:val="18"/>
                <w:lang w:eastAsia="zh-CN"/>
              </w:rPr>
              <w:t>住房城乡建设主管部门负责登记</w:t>
            </w:r>
            <w:r>
              <w:rPr>
                <w:rFonts w:hint="eastAsia" w:ascii="仿宋_GB2312" w:eastAsia="仿宋_GB2312"/>
                <w:color w:val="auto"/>
                <w:sz w:val="18"/>
                <w:szCs w:val="18"/>
              </w:rPr>
              <w:t>；各区</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组织的，由区</w:t>
            </w:r>
            <w:r>
              <w:rPr>
                <w:rFonts w:hint="eastAsia" w:ascii="仿宋_GB2312" w:eastAsia="仿宋_GB2312"/>
                <w:color w:val="auto"/>
                <w:sz w:val="18"/>
                <w:szCs w:val="18"/>
                <w:lang w:eastAsia="zh-CN"/>
              </w:rPr>
              <w:t>住房城乡建设主管部门负责登记</w:t>
            </w:r>
          </w:p>
        </w:tc>
      </w:tr>
      <w:tr w14:paraId="7846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0" w:hRule="atLeast"/>
          <w:jc w:val="center"/>
        </w:trPr>
        <w:tc>
          <w:tcPr>
            <w:tcW w:w="137" w:type="pct"/>
            <w:noWrap w:val="0"/>
            <w:vAlign w:val="center"/>
          </w:tcPr>
          <w:p w14:paraId="582A3FBF">
            <w:pPr>
              <w:numPr>
                <w:ilvl w:val="0"/>
                <w:numId w:val="1"/>
              </w:numPr>
              <w:ind w:left="0" w:leftChars="0" w:firstLine="0" w:firstLineChars="0"/>
              <w:jc w:val="center"/>
              <w:rPr>
                <w:rFonts w:hint="eastAsia" w:ascii="仿宋_GB2312" w:eastAsia="仿宋_GB2312"/>
                <w:b/>
                <w:color w:val="auto"/>
                <w:sz w:val="18"/>
                <w:szCs w:val="18"/>
                <w:lang w:val="en-US" w:eastAsia="zh-CN"/>
              </w:rPr>
            </w:pPr>
          </w:p>
        </w:tc>
        <w:tc>
          <w:tcPr>
            <w:tcW w:w="263" w:type="pct"/>
            <w:noWrap w:val="0"/>
            <w:vAlign w:val="center"/>
          </w:tcPr>
          <w:p w14:paraId="6A1C6CD4">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长期</w:t>
            </w:r>
          </w:p>
          <w:p w14:paraId="2E6FE390">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保持</w:t>
            </w:r>
          </w:p>
          <w:p w14:paraId="4CA5B4C9">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良好</w:t>
            </w:r>
          </w:p>
          <w:p w14:paraId="15E6DB78">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诚信</w:t>
            </w:r>
          </w:p>
          <w:p w14:paraId="2C7509A9">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信用</w:t>
            </w:r>
          </w:p>
          <w:p w14:paraId="26979B05">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加分</w:t>
            </w:r>
          </w:p>
        </w:tc>
        <w:tc>
          <w:tcPr>
            <w:tcW w:w="415" w:type="pct"/>
            <w:noWrap w:val="0"/>
            <w:vAlign w:val="center"/>
          </w:tcPr>
          <w:p w14:paraId="4DC32B1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r>
              <w:rPr>
                <w:rFonts w:hint="eastAsia" w:ascii="仿宋_GB2312" w:eastAsia="仿宋_GB2312"/>
                <w:color w:val="auto"/>
                <w:sz w:val="18"/>
                <w:szCs w:val="18"/>
                <w:lang w:eastAsia="zh-CN"/>
              </w:rPr>
              <w:t>近</w:t>
            </w:r>
            <w:r>
              <w:rPr>
                <w:rFonts w:hint="eastAsia" w:ascii="仿宋_GB2312" w:eastAsia="仿宋_GB2312"/>
                <w:color w:val="auto"/>
                <w:sz w:val="18"/>
                <w:szCs w:val="18"/>
                <w:lang w:val="en-US" w:eastAsia="zh-CN"/>
              </w:rPr>
              <w:t>2</w:t>
            </w:r>
            <w:r>
              <w:rPr>
                <w:rFonts w:hint="eastAsia" w:ascii="仿宋_GB2312" w:eastAsia="仿宋_GB2312"/>
                <w:color w:val="auto"/>
                <w:sz w:val="18"/>
                <w:szCs w:val="18"/>
                <w:lang w:eastAsia="zh-CN"/>
              </w:rPr>
              <w:t>年内的诚信综合考评情况</w:t>
            </w:r>
          </w:p>
        </w:tc>
        <w:tc>
          <w:tcPr>
            <w:tcW w:w="1818" w:type="pct"/>
            <w:gridSpan w:val="2"/>
            <w:noWrap w:val="0"/>
            <w:vAlign w:val="center"/>
          </w:tcPr>
          <w:p w14:paraId="499909B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z w:val="18"/>
                <w:szCs w:val="18"/>
                <w:lang w:eastAsia="zh-CN"/>
              </w:rPr>
              <w:t>近1年内诚信综合考评连续被评为A级，加</w:t>
            </w:r>
            <w:r>
              <w:rPr>
                <w:rFonts w:hint="eastAsia" w:ascii="仿宋_GB2312" w:eastAsia="仿宋_GB2312"/>
                <w:color w:val="auto"/>
                <w:sz w:val="18"/>
                <w:szCs w:val="18"/>
                <w:lang w:val="en-US" w:eastAsia="zh-CN"/>
              </w:rPr>
              <w:t>10</w:t>
            </w:r>
            <w:r>
              <w:rPr>
                <w:rFonts w:hint="eastAsia" w:ascii="仿宋_GB2312" w:eastAsia="仿宋_GB2312"/>
                <w:color w:val="auto"/>
                <w:sz w:val="18"/>
                <w:szCs w:val="18"/>
                <w:lang w:eastAsia="zh-CN"/>
              </w:rPr>
              <w:t>分；</w:t>
            </w:r>
          </w:p>
          <w:p w14:paraId="2332B77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z w:val="18"/>
                <w:szCs w:val="18"/>
                <w:lang w:eastAsia="zh-CN"/>
              </w:rPr>
              <w:t>近2年内诚信综合考评连续被评为A级，加</w:t>
            </w:r>
            <w:r>
              <w:rPr>
                <w:rFonts w:hint="eastAsia" w:ascii="仿宋_GB2312" w:eastAsia="仿宋_GB2312"/>
                <w:color w:val="auto"/>
                <w:sz w:val="18"/>
                <w:szCs w:val="18"/>
                <w:lang w:val="en-US" w:eastAsia="zh-CN"/>
              </w:rPr>
              <w:t>20</w:t>
            </w:r>
            <w:r>
              <w:rPr>
                <w:rFonts w:hint="eastAsia" w:ascii="仿宋_GB2312" w:eastAsia="仿宋_GB2312"/>
                <w:color w:val="auto"/>
                <w:sz w:val="18"/>
                <w:szCs w:val="18"/>
                <w:lang w:eastAsia="zh-CN"/>
              </w:rPr>
              <w:t>分；</w:t>
            </w:r>
          </w:p>
          <w:p w14:paraId="43BF2DAF">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eastAsia="仿宋_GB2312"/>
                <w:color w:val="auto"/>
                <w:sz w:val="18"/>
                <w:szCs w:val="18"/>
                <w:lang w:val="en-US" w:eastAsia="zh-CN"/>
              </w:rPr>
            </w:pPr>
            <w:r>
              <w:rPr>
                <w:rFonts w:hint="eastAsia" w:ascii="仿宋_GB2312" w:eastAsia="仿宋_GB2312"/>
                <w:color w:val="auto"/>
                <w:sz w:val="18"/>
                <w:szCs w:val="18"/>
                <w:lang w:eastAsia="zh-CN"/>
              </w:rPr>
              <w:t>近1年内诚信综合考评连续被评为B级以上，加</w:t>
            </w:r>
            <w:r>
              <w:rPr>
                <w:rFonts w:hint="eastAsia" w:ascii="仿宋_GB2312" w:eastAsia="仿宋_GB2312"/>
                <w:color w:val="auto"/>
                <w:sz w:val="18"/>
                <w:szCs w:val="18"/>
                <w:lang w:val="en-US" w:eastAsia="zh-CN"/>
              </w:rPr>
              <w:t>5</w:t>
            </w:r>
            <w:r>
              <w:rPr>
                <w:rFonts w:hint="eastAsia" w:ascii="仿宋_GB2312" w:eastAsia="仿宋_GB2312"/>
                <w:color w:val="auto"/>
                <w:sz w:val="18"/>
                <w:szCs w:val="18"/>
                <w:lang w:eastAsia="zh-CN"/>
              </w:rPr>
              <w:t>分；</w:t>
            </w:r>
          </w:p>
          <w:p w14:paraId="07A7D43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r>
              <w:rPr>
                <w:rFonts w:hint="eastAsia" w:ascii="仿宋_GB2312" w:eastAsia="仿宋_GB2312"/>
                <w:color w:val="auto"/>
                <w:sz w:val="18"/>
                <w:szCs w:val="18"/>
                <w:lang w:eastAsia="zh-CN"/>
              </w:rPr>
              <w:t>近2年内诚信综合考评连续被评为B级以上，加</w:t>
            </w:r>
            <w:r>
              <w:rPr>
                <w:rFonts w:hint="eastAsia" w:ascii="仿宋_GB2312" w:eastAsia="仿宋_GB2312"/>
                <w:color w:val="auto"/>
                <w:sz w:val="18"/>
                <w:szCs w:val="18"/>
                <w:lang w:val="en-US" w:eastAsia="zh-CN"/>
              </w:rPr>
              <w:t>10</w:t>
            </w:r>
            <w:r>
              <w:rPr>
                <w:rFonts w:hint="eastAsia" w:ascii="仿宋_GB2312" w:eastAsia="仿宋_GB2312"/>
                <w:color w:val="auto"/>
                <w:sz w:val="18"/>
                <w:szCs w:val="18"/>
                <w:lang w:eastAsia="zh-CN"/>
              </w:rPr>
              <w:t>分</w:t>
            </w:r>
          </w:p>
        </w:tc>
        <w:tc>
          <w:tcPr>
            <w:tcW w:w="276" w:type="pct"/>
            <w:noWrap w:val="0"/>
            <w:vAlign w:val="center"/>
          </w:tcPr>
          <w:p w14:paraId="207E2C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r>
              <w:rPr>
                <w:rFonts w:hint="eastAsia" w:ascii="仿宋_GB2312" w:eastAsia="仿宋_GB2312"/>
                <w:color w:val="auto"/>
                <w:sz w:val="18"/>
                <w:szCs w:val="18"/>
              </w:rPr>
              <w:t>1年</w:t>
            </w:r>
          </w:p>
        </w:tc>
        <w:tc>
          <w:tcPr>
            <w:tcW w:w="1090" w:type="pct"/>
            <w:noWrap w:val="0"/>
            <w:vAlign w:val="center"/>
          </w:tcPr>
          <w:p w14:paraId="025FC34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rPr>
            </w:pPr>
            <w:r>
              <w:rPr>
                <w:rFonts w:hint="eastAsia" w:ascii="仿宋_GB2312" w:eastAsia="仿宋_GB2312"/>
                <w:color w:val="auto"/>
                <w:sz w:val="18"/>
                <w:szCs w:val="18"/>
                <w:lang w:eastAsia="zh-CN"/>
              </w:rPr>
              <w:t>每年1月1日自动计算并加分</w:t>
            </w:r>
          </w:p>
        </w:tc>
        <w:tc>
          <w:tcPr>
            <w:tcW w:w="374" w:type="pct"/>
            <w:noWrap w:val="0"/>
            <w:vAlign w:val="center"/>
          </w:tcPr>
          <w:p w14:paraId="15AA6B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lang w:eastAsia="zh-CN"/>
              </w:rPr>
            </w:pPr>
            <w:r>
              <w:rPr>
                <w:rFonts w:hint="eastAsia" w:ascii="仿宋_GB2312" w:hAnsi="宋体" w:eastAsia="仿宋_GB2312"/>
                <w:color w:val="auto"/>
                <w:sz w:val="18"/>
                <w:szCs w:val="18"/>
                <w:lang w:eastAsia="zh-CN"/>
              </w:rPr>
              <w:t>所有企业类别</w:t>
            </w:r>
          </w:p>
        </w:tc>
        <w:tc>
          <w:tcPr>
            <w:tcW w:w="622" w:type="pct"/>
            <w:noWrap w:val="0"/>
            <w:vAlign w:val="center"/>
          </w:tcPr>
          <w:p w14:paraId="3FB8693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z w:val="18"/>
                <w:szCs w:val="18"/>
                <w:lang w:eastAsia="zh-CN"/>
              </w:rPr>
              <w:t>由诚信管理平台实行自动加分</w:t>
            </w:r>
          </w:p>
        </w:tc>
      </w:tr>
      <w:tr w14:paraId="5283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5" w:hRule="atLeast"/>
          <w:jc w:val="center"/>
        </w:trPr>
        <w:tc>
          <w:tcPr>
            <w:tcW w:w="137" w:type="pct"/>
            <w:noWrap w:val="0"/>
            <w:vAlign w:val="center"/>
          </w:tcPr>
          <w:p w14:paraId="0DEA9757">
            <w:pPr>
              <w:numPr>
                <w:ilvl w:val="0"/>
                <w:numId w:val="1"/>
              </w:numPr>
              <w:ind w:left="0" w:leftChars="0" w:firstLine="0" w:firstLineChars="0"/>
              <w:jc w:val="center"/>
              <w:rPr>
                <w:rFonts w:hint="eastAsia" w:ascii="仿宋_GB2312" w:eastAsia="仿宋_GB2312"/>
                <w:b/>
                <w:color w:val="auto"/>
                <w:sz w:val="18"/>
                <w:szCs w:val="18"/>
                <w:lang w:val="en-US" w:eastAsia="zh-CN"/>
              </w:rPr>
            </w:pPr>
          </w:p>
        </w:tc>
        <w:tc>
          <w:tcPr>
            <w:tcW w:w="263" w:type="pct"/>
            <w:noWrap w:val="0"/>
            <w:vAlign w:val="center"/>
          </w:tcPr>
          <w:p w14:paraId="4DEF2DD6">
            <w:pPr>
              <w:jc w:val="center"/>
              <w:rPr>
                <w:rFonts w:hint="eastAsia" w:ascii="仿宋_GB2312" w:eastAsia="仿宋_GB2312"/>
                <w:b/>
                <w:color w:val="auto"/>
                <w:sz w:val="18"/>
                <w:szCs w:val="18"/>
              </w:rPr>
            </w:pPr>
            <w:r>
              <w:rPr>
                <w:rFonts w:hint="eastAsia" w:ascii="仿宋_GB2312" w:eastAsia="仿宋_GB2312"/>
                <w:b/>
                <w:color w:val="auto"/>
                <w:sz w:val="18"/>
                <w:szCs w:val="18"/>
              </w:rPr>
              <w:t>参与</w:t>
            </w:r>
          </w:p>
          <w:p w14:paraId="4B2153CD">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重点</w:t>
            </w:r>
          </w:p>
          <w:p w14:paraId="456BBDE2">
            <w:pPr>
              <w:jc w:val="center"/>
              <w:rPr>
                <w:rFonts w:hint="eastAsia" w:ascii="仿宋_GB2312" w:eastAsia="仿宋_GB2312"/>
                <w:b/>
                <w:color w:val="auto"/>
                <w:sz w:val="18"/>
                <w:szCs w:val="18"/>
              </w:rPr>
            </w:pPr>
            <w:r>
              <w:rPr>
                <w:rFonts w:hint="eastAsia" w:ascii="仿宋_GB2312" w:eastAsia="仿宋_GB2312"/>
                <w:b/>
                <w:color w:val="auto"/>
                <w:sz w:val="18"/>
                <w:szCs w:val="18"/>
              </w:rPr>
              <w:t>工作</w:t>
            </w:r>
          </w:p>
          <w:p w14:paraId="541094C1">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加分</w:t>
            </w:r>
          </w:p>
        </w:tc>
        <w:tc>
          <w:tcPr>
            <w:tcW w:w="415" w:type="pct"/>
            <w:noWrap w:val="0"/>
            <w:vAlign w:val="center"/>
          </w:tcPr>
          <w:p w14:paraId="4377719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rPr>
            </w:pPr>
            <w:r>
              <w:rPr>
                <w:rFonts w:hint="eastAsia" w:ascii="仿宋_GB2312" w:eastAsia="仿宋_GB2312"/>
                <w:color w:val="auto"/>
                <w:sz w:val="18"/>
                <w:szCs w:val="18"/>
                <w:lang w:eastAsia="zh-CN"/>
              </w:rPr>
              <w:t>参与住房城乡建设主管部门</w:t>
            </w:r>
            <w:r>
              <w:rPr>
                <w:rFonts w:hint="eastAsia" w:ascii="仿宋_GB2312" w:eastAsia="仿宋_GB2312"/>
                <w:color w:val="auto"/>
                <w:sz w:val="18"/>
                <w:szCs w:val="18"/>
              </w:rPr>
              <w:t>组织的</w:t>
            </w:r>
            <w:r>
              <w:rPr>
                <w:rFonts w:hint="eastAsia" w:ascii="仿宋_GB2312" w:eastAsia="仿宋_GB2312"/>
                <w:color w:val="auto"/>
                <w:sz w:val="18"/>
                <w:szCs w:val="18"/>
                <w:lang w:eastAsia="zh-CN"/>
              </w:rPr>
              <w:t>重点</w:t>
            </w:r>
            <w:r>
              <w:rPr>
                <w:rFonts w:hint="eastAsia" w:ascii="仿宋_GB2312" w:eastAsia="仿宋_GB2312"/>
                <w:color w:val="auto"/>
                <w:sz w:val="18"/>
                <w:szCs w:val="18"/>
              </w:rPr>
              <w:t>工作</w:t>
            </w:r>
          </w:p>
        </w:tc>
        <w:tc>
          <w:tcPr>
            <w:tcW w:w="1818" w:type="pct"/>
            <w:gridSpan w:val="2"/>
            <w:noWrap w:val="0"/>
            <w:vAlign w:val="center"/>
          </w:tcPr>
          <w:p w14:paraId="1CFC67E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Times New Roman" w:eastAsia="仿宋_GB2312" w:cs="Times New Roman"/>
                <w:color w:val="auto"/>
                <w:sz w:val="18"/>
                <w:szCs w:val="18"/>
                <w:lang w:eastAsia="zh-CN"/>
              </w:rPr>
            </w:pPr>
            <w:r>
              <w:rPr>
                <w:rFonts w:hint="eastAsia" w:ascii="仿宋_GB2312" w:hAnsi="Times New Roman" w:eastAsia="仿宋_GB2312" w:cs="Times New Roman"/>
                <w:color w:val="auto"/>
                <w:sz w:val="18"/>
                <w:szCs w:val="18"/>
                <w:lang w:eastAsia="zh-CN"/>
              </w:rPr>
              <w:t>参与区住房城乡建设主管部门组织的重点工作，每次加1～</w:t>
            </w:r>
            <w:r>
              <w:rPr>
                <w:rFonts w:hint="eastAsia" w:ascii="仿宋_GB2312" w:eastAsia="仿宋_GB2312" w:cs="Times New Roman"/>
                <w:color w:val="auto"/>
                <w:sz w:val="18"/>
                <w:szCs w:val="18"/>
                <w:lang w:val="en-US" w:eastAsia="zh-CN"/>
              </w:rPr>
              <w:t>5</w:t>
            </w:r>
            <w:r>
              <w:rPr>
                <w:rFonts w:hint="eastAsia" w:ascii="仿宋_GB2312" w:hAnsi="Times New Roman" w:eastAsia="仿宋_GB2312" w:cs="Times New Roman"/>
                <w:color w:val="auto"/>
                <w:sz w:val="18"/>
                <w:szCs w:val="18"/>
                <w:lang w:eastAsia="zh-CN"/>
              </w:rPr>
              <w:t>分；</w:t>
            </w:r>
          </w:p>
          <w:p w14:paraId="442E396F">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hAnsi="Times New Roman" w:eastAsia="仿宋_GB2312" w:cs="Times New Roman"/>
                <w:color w:val="auto"/>
                <w:sz w:val="18"/>
                <w:szCs w:val="18"/>
                <w:lang w:val="en-US" w:eastAsia="zh-CN"/>
              </w:rPr>
            </w:pPr>
            <w:r>
              <w:rPr>
                <w:rFonts w:hint="eastAsia" w:ascii="仿宋_GB2312" w:hAnsi="Times New Roman" w:eastAsia="仿宋_GB2312" w:cs="Times New Roman"/>
                <w:color w:val="auto"/>
                <w:sz w:val="18"/>
                <w:szCs w:val="18"/>
                <w:lang w:eastAsia="zh-CN"/>
              </w:rPr>
              <w:t>参与市住房城乡建设主管部门组织的重点工作，每次加</w:t>
            </w:r>
            <w:r>
              <w:rPr>
                <w:rFonts w:hint="eastAsia" w:ascii="仿宋_GB2312" w:hAnsi="Times New Roman" w:eastAsia="仿宋_GB2312" w:cs="Times New Roman"/>
                <w:color w:val="auto"/>
                <w:sz w:val="18"/>
                <w:szCs w:val="18"/>
                <w:lang w:val="en-US" w:eastAsia="zh-CN"/>
              </w:rPr>
              <w:t>2</w:t>
            </w:r>
            <w:r>
              <w:rPr>
                <w:rFonts w:hint="eastAsia" w:ascii="仿宋_GB2312" w:hAnsi="Times New Roman" w:eastAsia="仿宋_GB2312" w:cs="Times New Roman"/>
                <w:color w:val="auto"/>
                <w:sz w:val="18"/>
                <w:szCs w:val="18"/>
                <w:lang w:eastAsia="zh-CN"/>
              </w:rPr>
              <w:t>～</w:t>
            </w:r>
            <w:r>
              <w:rPr>
                <w:rFonts w:hint="eastAsia" w:ascii="仿宋_GB2312" w:hAnsi="Times New Roman" w:eastAsia="仿宋_GB2312" w:cs="Times New Roman"/>
                <w:color w:val="auto"/>
                <w:sz w:val="18"/>
                <w:szCs w:val="18"/>
                <w:lang w:val="en-US" w:eastAsia="zh-CN"/>
              </w:rPr>
              <w:t>10</w:t>
            </w:r>
            <w:r>
              <w:rPr>
                <w:rFonts w:hint="eastAsia" w:ascii="仿宋_GB2312" w:hAnsi="Times New Roman" w:eastAsia="仿宋_GB2312" w:cs="Times New Roman"/>
                <w:color w:val="auto"/>
                <w:sz w:val="18"/>
                <w:szCs w:val="18"/>
                <w:lang w:eastAsia="zh-CN"/>
              </w:rPr>
              <w:t>分</w:t>
            </w:r>
            <w:r>
              <w:rPr>
                <w:rFonts w:hint="eastAsia" w:ascii="仿宋_GB2312" w:eastAsia="仿宋_GB2312" w:cs="Times New Roman"/>
                <w:color w:val="auto"/>
                <w:sz w:val="18"/>
                <w:szCs w:val="18"/>
                <w:lang w:eastAsia="zh-CN"/>
              </w:rPr>
              <w:t>；</w:t>
            </w:r>
          </w:p>
          <w:p w14:paraId="196FBEE4">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仿宋_GB2312"/>
                <w:color w:val="auto"/>
                <w:sz w:val="18"/>
                <w:szCs w:val="18"/>
                <w:lang w:val="en-US" w:eastAsia="zh-CN"/>
              </w:rPr>
            </w:pPr>
            <w:r>
              <w:rPr>
                <w:rFonts w:hint="eastAsia" w:ascii="仿宋_GB2312" w:hAnsi="Times New Roman" w:eastAsia="仿宋_GB2312" w:cs="Times New Roman"/>
                <w:color w:val="auto"/>
                <w:sz w:val="18"/>
                <w:szCs w:val="18"/>
                <w:lang w:eastAsia="zh-CN"/>
              </w:rPr>
              <w:t>配合代表佛山市建筑行业参与省级以上比赛的，加</w:t>
            </w:r>
            <w:r>
              <w:rPr>
                <w:rFonts w:hint="eastAsia" w:ascii="仿宋_GB2312" w:hAnsi="Times New Roman" w:eastAsia="仿宋_GB2312" w:cs="Times New Roman"/>
                <w:color w:val="auto"/>
                <w:sz w:val="18"/>
                <w:szCs w:val="18"/>
                <w:lang w:val="en-US" w:eastAsia="zh-CN"/>
              </w:rPr>
              <w:t>3分；获得名次的，加5分</w:t>
            </w:r>
          </w:p>
        </w:tc>
        <w:tc>
          <w:tcPr>
            <w:tcW w:w="276" w:type="pct"/>
            <w:noWrap w:val="0"/>
            <w:vAlign w:val="center"/>
          </w:tcPr>
          <w:p w14:paraId="75FE19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rPr>
            </w:pPr>
            <w:r>
              <w:rPr>
                <w:rFonts w:hint="eastAsia" w:ascii="仿宋_GB2312" w:eastAsia="仿宋_GB2312"/>
                <w:color w:val="auto"/>
                <w:sz w:val="18"/>
                <w:szCs w:val="18"/>
              </w:rPr>
              <w:t>1年</w:t>
            </w:r>
          </w:p>
        </w:tc>
        <w:tc>
          <w:tcPr>
            <w:tcW w:w="1090" w:type="pct"/>
            <w:noWrap w:val="0"/>
            <w:vAlign w:val="center"/>
          </w:tcPr>
          <w:p w14:paraId="28F40F2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lang w:eastAsia="zh-CN"/>
              </w:rPr>
            </w:pPr>
            <w:r>
              <w:rPr>
                <w:rFonts w:hint="eastAsia" w:ascii="仿宋_GB2312" w:eastAsia="仿宋_GB2312"/>
                <w:color w:val="auto"/>
                <w:sz w:val="18"/>
                <w:szCs w:val="18"/>
                <w:lang w:val="en-US" w:eastAsia="zh-CN"/>
              </w:rPr>
              <w:t>1.</w:t>
            </w:r>
            <w:r>
              <w:rPr>
                <w:rFonts w:hint="eastAsia" w:ascii="仿宋_GB2312" w:eastAsia="仿宋_GB2312"/>
                <w:color w:val="auto"/>
                <w:sz w:val="18"/>
                <w:szCs w:val="18"/>
                <w:lang w:eastAsia="zh-CN"/>
              </w:rPr>
              <w:t>相关重点工作需制定具体实施方案，并经审批程序后方可进行加分；</w:t>
            </w:r>
          </w:p>
          <w:p w14:paraId="605B195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sz w:val="18"/>
                <w:szCs w:val="18"/>
                <w:lang w:eastAsia="zh-CN"/>
              </w:rPr>
            </w:pPr>
            <w:r>
              <w:rPr>
                <w:rFonts w:hint="eastAsia" w:ascii="仿宋_GB2312" w:eastAsia="仿宋_GB2312"/>
                <w:color w:val="auto"/>
                <w:sz w:val="18"/>
                <w:szCs w:val="18"/>
                <w:lang w:val="en-US" w:eastAsia="zh-CN"/>
              </w:rPr>
              <w:t>2.</w:t>
            </w:r>
            <w:r>
              <w:rPr>
                <w:rFonts w:hint="eastAsia" w:ascii="仿宋_GB2312" w:eastAsia="仿宋_GB2312"/>
                <w:color w:val="auto"/>
                <w:sz w:val="18"/>
                <w:szCs w:val="18"/>
                <w:lang w:eastAsia="zh-CN"/>
              </w:rPr>
              <w:t>凡不具备程序条件的，需撤销相应加分</w:t>
            </w:r>
          </w:p>
        </w:tc>
        <w:tc>
          <w:tcPr>
            <w:tcW w:w="374" w:type="pct"/>
            <w:noWrap w:val="0"/>
            <w:vAlign w:val="center"/>
          </w:tcPr>
          <w:p w14:paraId="45DD6D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sz w:val="18"/>
                <w:szCs w:val="18"/>
                <w:lang w:eastAsia="zh-CN"/>
              </w:rPr>
            </w:pPr>
            <w:r>
              <w:rPr>
                <w:rFonts w:hint="eastAsia" w:ascii="仿宋_GB2312" w:hAnsi="宋体" w:eastAsia="仿宋_GB2312"/>
                <w:color w:val="auto"/>
                <w:sz w:val="18"/>
                <w:szCs w:val="18"/>
                <w:lang w:eastAsia="zh-CN"/>
              </w:rPr>
              <w:t>所有企业类别</w:t>
            </w:r>
          </w:p>
        </w:tc>
        <w:tc>
          <w:tcPr>
            <w:tcW w:w="622" w:type="pct"/>
            <w:noWrap w:val="0"/>
            <w:vAlign w:val="center"/>
          </w:tcPr>
          <w:p w14:paraId="53F0CBE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sz w:val="18"/>
                <w:szCs w:val="18"/>
                <w:lang w:eastAsia="zh-CN"/>
              </w:rPr>
            </w:pPr>
            <w:r>
              <w:rPr>
                <w:rFonts w:hint="eastAsia" w:ascii="仿宋_GB2312" w:eastAsia="仿宋_GB2312"/>
                <w:color w:val="auto"/>
                <w:sz w:val="18"/>
                <w:szCs w:val="18"/>
              </w:rPr>
              <w:t>市</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组织的，由市</w:t>
            </w:r>
            <w:r>
              <w:rPr>
                <w:rFonts w:hint="eastAsia" w:ascii="仿宋_GB2312" w:eastAsia="仿宋_GB2312"/>
                <w:color w:val="auto"/>
                <w:sz w:val="18"/>
                <w:szCs w:val="18"/>
                <w:lang w:eastAsia="zh-CN"/>
              </w:rPr>
              <w:t>住房城乡建设主管部门负责登记</w:t>
            </w:r>
            <w:r>
              <w:rPr>
                <w:rFonts w:hint="eastAsia" w:ascii="仿宋_GB2312" w:eastAsia="仿宋_GB2312"/>
                <w:color w:val="auto"/>
                <w:sz w:val="18"/>
                <w:szCs w:val="18"/>
              </w:rPr>
              <w:t>；各区</w:t>
            </w:r>
            <w:r>
              <w:rPr>
                <w:rFonts w:hint="eastAsia" w:ascii="仿宋_GB2312" w:eastAsia="仿宋_GB2312"/>
                <w:color w:val="auto"/>
                <w:sz w:val="18"/>
                <w:szCs w:val="18"/>
                <w:lang w:eastAsia="zh-CN"/>
              </w:rPr>
              <w:t>住房城乡建设主管部门</w:t>
            </w:r>
            <w:r>
              <w:rPr>
                <w:rFonts w:hint="eastAsia" w:ascii="仿宋_GB2312" w:eastAsia="仿宋_GB2312"/>
                <w:color w:val="auto"/>
                <w:sz w:val="18"/>
                <w:szCs w:val="18"/>
              </w:rPr>
              <w:t>组织的，由区</w:t>
            </w:r>
            <w:r>
              <w:rPr>
                <w:rFonts w:hint="eastAsia" w:ascii="仿宋_GB2312" w:eastAsia="仿宋_GB2312"/>
                <w:color w:val="auto"/>
                <w:sz w:val="18"/>
                <w:szCs w:val="18"/>
                <w:lang w:eastAsia="zh-CN"/>
              </w:rPr>
              <w:t>住房城乡建设主管部门负责登记</w:t>
            </w:r>
          </w:p>
        </w:tc>
      </w:tr>
      <w:tr w14:paraId="3BF7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jc w:val="center"/>
        </w:trPr>
        <w:tc>
          <w:tcPr>
            <w:tcW w:w="137" w:type="pct"/>
            <w:noWrap w:val="0"/>
            <w:vAlign w:val="center"/>
          </w:tcPr>
          <w:p w14:paraId="743D0F78">
            <w:pPr>
              <w:numPr>
                <w:ilvl w:val="0"/>
                <w:numId w:val="1"/>
              </w:numPr>
              <w:ind w:left="0" w:leftChars="0" w:firstLine="0" w:firstLineChars="0"/>
              <w:jc w:val="center"/>
              <w:rPr>
                <w:rFonts w:hint="default" w:ascii="仿宋_GB2312" w:eastAsia="仿宋_GB2312"/>
                <w:b/>
                <w:color w:val="auto"/>
                <w:kern w:val="2"/>
                <w:sz w:val="18"/>
                <w:szCs w:val="18"/>
                <w:lang w:val="en-US" w:eastAsia="zh-CN" w:bidi="ar-SA"/>
              </w:rPr>
            </w:pPr>
          </w:p>
        </w:tc>
        <w:tc>
          <w:tcPr>
            <w:tcW w:w="263" w:type="pct"/>
            <w:noWrap w:val="0"/>
            <w:vAlign w:val="center"/>
          </w:tcPr>
          <w:p w14:paraId="497A5EBB">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入选</w:t>
            </w:r>
          </w:p>
          <w:p w14:paraId="3D70A275">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优质</w:t>
            </w:r>
          </w:p>
          <w:p w14:paraId="5A4246DC">
            <w:pPr>
              <w:jc w:val="center"/>
              <w:rPr>
                <w:rFonts w:hint="eastAsia" w:ascii="仿宋_GB2312" w:eastAsia="仿宋_GB2312"/>
                <w:b/>
                <w:color w:val="auto"/>
                <w:sz w:val="18"/>
                <w:szCs w:val="18"/>
                <w:lang w:eastAsia="zh-CN"/>
              </w:rPr>
            </w:pPr>
            <w:r>
              <w:rPr>
                <w:rFonts w:hint="eastAsia" w:ascii="仿宋_GB2312" w:eastAsia="仿宋_GB2312"/>
                <w:b/>
                <w:color w:val="auto"/>
                <w:sz w:val="18"/>
                <w:szCs w:val="18"/>
                <w:lang w:eastAsia="zh-CN"/>
              </w:rPr>
              <w:t>目录</w:t>
            </w:r>
          </w:p>
          <w:p w14:paraId="651212FB">
            <w:pPr>
              <w:jc w:val="center"/>
              <w:rPr>
                <w:rFonts w:hint="eastAsia" w:ascii="仿宋_GB2312" w:eastAsia="仿宋_GB2312"/>
                <w:b/>
                <w:color w:val="auto"/>
                <w:kern w:val="2"/>
                <w:sz w:val="18"/>
                <w:szCs w:val="18"/>
                <w:lang w:val="en-US" w:eastAsia="zh-CN" w:bidi="ar-SA"/>
              </w:rPr>
            </w:pPr>
            <w:r>
              <w:rPr>
                <w:rFonts w:hint="eastAsia" w:ascii="仿宋_GB2312" w:eastAsia="仿宋_GB2312"/>
                <w:b/>
                <w:color w:val="auto"/>
                <w:sz w:val="18"/>
                <w:szCs w:val="18"/>
                <w:lang w:eastAsia="zh-CN"/>
              </w:rPr>
              <w:t>加分</w:t>
            </w:r>
          </w:p>
        </w:tc>
        <w:tc>
          <w:tcPr>
            <w:tcW w:w="415" w:type="pct"/>
            <w:noWrap w:val="0"/>
            <w:vAlign w:val="center"/>
          </w:tcPr>
          <w:p w14:paraId="152E19F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eastAsia="仿宋_GB2312"/>
                <w:color w:val="auto"/>
                <w:kern w:val="2"/>
                <w:sz w:val="18"/>
                <w:szCs w:val="18"/>
                <w:lang w:val="en-US" w:eastAsia="zh-CN" w:bidi="ar-SA"/>
              </w:rPr>
            </w:pPr>
            <w:r>
              <w:rPr>
                <w:rFonts w:hint="eastAsia" w:ascii="仿宋_GB2312" w:eastAsia="仿宋_GB2312"/>
                <w:color w:val="auto"/>
                <w:kern w:val="2"/>
                <w:sz w:val="18"/>
                <w:szCs w:val="18"/>
                <w:lang w:val="en-US" w:eastAsia="zh-CN" w:bidi="ar-SA"/>
              </w:rPr>
              <w:t>入选优质建筑业企业（施工企业）目录</w:t>
            </w:r>
          </w:p>
        </w:tc>
        <w:tc>
          <w:tcPr>
            <w:tcW w:w="1818" w:type="pct"/>
            <w:gridSpan w:val="2"/>
            <w:noWrap w:val="0"/>
            <w:vAlign w:val="center"/>
          </w:tcPr>
          <w:p w14:paraId="15011426">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eastAsia="仿宋_GB2312"/>
                <w:color w:val="auto"/>
                <w:kern w:val="2"/>
                <w:sz w:val="18"/>
                <w:szCs w:val="18"/>
                <w:u w:val="wavyHeavy"/>
                <w:lang w:val="en-US" w:eastAsia="zh-CN" w:bidi="ar-SA"/>
              </w:rPr>
            </w:pPr>
            <w:r>
              <w:rPr>
                <w:rFonts w:hint="eastAsia" w:ascii="仿宋_GB2312" w:hAnsi="仿宋_GB2312" w:eastAsia="仿宋_GB2312" w:cs="仿宋_GB2312"/>
                <w:color w:val="auto"/>
                <w:sz w:val="18"/>
                <w:szCs w:val="18"/>
                <w:lang w:eastAsia="zh-CN"/>
              </w:rPr>
              <w:t>入选</w:t>
            </w:r>
            <w:r>
              <w:rPr>
                <w:rFonts w:hint="eastAsia" w:ascii="仿宋_GB2312" w:hAnsi="仿宋_GB2312" w:eastAsia="仿宋_GB2312" w:cs="仿宋_GB2312"/>
                <w:color w:val="auto"/>
                <w:sz w:val="18"/>
                <w:szCs w:val="18"/>
                <w:lang w:val="en-US" w:eastAsia="zh-CN"/>
              </w:rPr>
              <w:t>优质建筑业企业（施工企业）目录的，加30分</w:t>
            </w:r>
            <w:r>
              <w:rPr>
                <w:rFonts w:hint="eastAsia" w:ascii="仿宋_GB2312" w:hAnsi="仿宋_GB2312" w:eastAsia="仿宋_GB2312" w:cs="仿宋_GB2312"/>
                <w:color w:val="auto"/>
                <w:sz w:val="18"/>
                <w:szCs w:val="18"/>
                <w:lang w:eastAsia="zh-CN"/>
              </w:rPr>
              <w:t>；连续</w:t>
            </w:r>
            <w:r>
              <w:rPr>
                <w:rFonts w:hint="eastAsia" w:ascii="仿宋_GB2312" w:hAnsi="仿宋_GB2312" w:eastAsia="仿宋_GB2312" w:cs="仿宋_GB2312"/>
                <w:color w:val="auto"/>
                <w:sz w:val="18"/>
                <w:szCs w:val="18"/>
                <w:lang w:val="en-US" w:eastAsia="zh-CN"/>
              </w:rPr>
              <w:t>入选的，每年可递加5分，加分上限50分</w:t>
            </w:r>
          </w:p>
        </w:tc>
        <w:tc>
          <w:tcPr>
            <w:tcW w:w="276" w:type="pct"/>
            <w:noWrap w:val="0"/>
            <w:vAlign w:val="center"/>
          </w:tcPr>
          <w:p w14:paraId="6DDB8D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kern w:val="2"/>
                <w:sz w:val="18"/>
                <w:szCs w:val="18"/>
                <w:lang w:val="en-US" w:eastAsia="zh-CN" w:bidi="ar-SA"/>
              </w:rPr>
            </w:pPr>
            <w:r>
              <w:rPr>
                <w:rFonts w:hint="eastAsia" w:ascii="仿宋_GB2312" w:eastAsia="仿宋_GB2312"/>
                <w:color w:val="auto"/>
                <w:sz w:val="18"/>
                <w:szCs w:val="18"/>
              </w:rPr>
              <w:t>1年</w:t>
            </w:r>
          </w:p>
        </w:tc>
        <w:tc>
          <w:tcPr>
            <w:tcW w:w="1090" w:type="pct"/>
            <w:noWrap w:val="0"/>
            <w:vAlign w:val="center"/>
          </w:tcPr>
          <w:p w14:paraId="65EA274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kern w:val="2"/>
                <w:sz w:val="18"/>
                <w:szCs w:val="18"/>
                <w:lang w:val="en-US" w:eastAsia="zh-CN" w:bidi="ar-SA"/>
              </w:rPr>
            </w:pPr>
            <w:r>
              <w:rPr>
                <w:rFonts w:hint="eastAsia" w:ascii="仿宋_GB2312" w:eastAsia="仿宋_GB2312"/>
                <w:color w:val="auto"/>
                <w:sz w:val="18"/>
                <w:szCs w:val="18"/>
                <w:lang w:eastAsia="zh-CN"/>
              </w:rPr>
              <w:t>以市住房城乡建设主管部门确认为准</w:t>
            </w:r>
          </w:p>
        </w:tc>
        <w:tc>
          <w:tcPr>
            <w:tcW w:w="374" w:type="pct"/>
            <w:noWrap w:val="0"/>
            <w:vAlign w:val="center"/>
          </w:tcPr>
          <w:p w14:paraId="3C7C96A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r>
              <w:rPr>
                <w:rFonts w:hint="eastAsia" w:ascii="仿宋_GB2312" w:hAnsi="宋体" w:eastAsia="仿宋_GB2312"/>
                <w:color w:val="auto"/>
                <w:sz w:val="18"/>
                <w:szCs w:val="18"/>
                <w:lang w:eastAsia="zh-CN"/>
              </w:rPr>
              <w:t>建筑业企业（施工）</w:t>
            </w:r>
          </w:p>
        </w:tc>
        <w:tc>
          <w:tcPr>
            <w:tcW w:w="622" w:type="pct"/>
            <w:noWrap w:val="0"/>
            <w:vAlign w:val="center"/>
          </w:tcPr>
          <w:p w14:paraId="6592E5B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Times New Roman" w:eastAsia="仿宋_GB2312" w:cs="Times New Roman"/>
                <w:color w:val="auto"/>
                <w:sz w:val="18"/>
                <w:szCs w:val="18"/>
                <w:lang w:eastAsia="zh-CN"/>
              </w:rPr>
            </w:pPr>
            <w:r>
              <w:rPr>
                <w:rFonts w:hint="eastAsia" w:ascii="仿宋_GB2312" w:eastAsia="仿宋_GB2312"/>
                <w:color w:val="auto"/>
                <w:sz w:val="18"/>
                <w:szCs w:val="18"/>
                <w:lang w:eastAsia="zh-CN"/>
              </w:rPr>
              <w:t>由市住房城乡建设主管部门负责登记</w:t>
            </w:r>
          </w:p>
        </w:tc>
      </w:tr>
      <w:tr w14:paraId="4AD3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4" w:hRule="atLeast"/>
          <w:jc w:val="center"/>
        </w:trPr>
        <w:tc>
          <w:tcPr>
            <w:tcW w:w="137" w:type="pct"/>
            <w:noWrap w:val="0"/>
            <w:vAlign w:val="center"/>
          </w:tcPr>
          <w:p w14:paraId="2B469B4D">
            <w:pPr>
              <w:numPr>
                <w:ilvl w:val="0"/>
                <w:numId w:val="1"/>
              </w:numPr>
              <w:ind w:left="0" w:leftChars="0" w:firstLine="0" w:firstLineChars="0"/>
              <w:jc w:val="center"/>
              <w:rPr>
                <w:rFonts w:hint="default" w:ascii="仿宋_GB2312" w:eastAsia="仿宋_GB2312"/>
                <w:b/>
                <w:color w:val="auto"/>
                <w:kern w:val="2"/>
                <w:sz w:val="18"/>
                <w:szCs w:val="18"/>
                <w:lang w:val="en-US" w:eastAsia="zh-CN" w:bidi="ar-SA"/>
              </w:rPr>
            </w:pPr>
          </w:p>
        </w:tc>
        <w:tc>
          <w:tcPr>
            <w:tcW w:w="263" w:type="pct"/>
            <w:noWrap w:val="0"/>
            <w:vAlign w:val="center"/>
          </w:tcPr>
          <w:p w14:paraId="4BDA8EA3">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参与“百千万工程”</w:t>
            </w:r>
          </w:p>
          <w:p w14:paraId="53F78E7E">
            <w:pPr>
              <w:jc w:val="center"/>
              <w:rPr>
                <w:rFonts w:hint="eastAsia" w:ascii="仿宋_GB2312" w:eastAsia="仿宋_GB2312"/>
                <w:b/>
                <w:color w:val="auto"/>
                <w:kern w:val="2"/>
                <w:sz w:val="18"/>
                <w:szCs w:val="18"/>
                <w:lang w:val="en-US" w:eastAsia="zh-CN" w:bidi="ar-SA"/>
              </w:rPr>
            </w:pPr>
            <w:r>
              <w:rPr>
                <w:rFonts w:hint="eastAsia" w:ascii="仿宋_GB2312" w:eastAsia="仿宋_GB2312"/>
                <w:b/>
                <w:color w:val="auto"/>
                <w:sz w:val="18"/>
                <w:szCs w:val="18"/>
                <w:lang w:val="en-US" w:eastAsia="zh-CN"/>
              </w:rPr>
              <w:t>加分</w:t>
            </w:r>
          </w:p>
        </w:tc>
        <w:tc>
          <w:tcPr>
            <w:tcW w:w="415" w:type="pct"/>
            <w:noWrap w:val="0"/>
            <w:vAlign w:val="center"/>
          </w:tcPr>
          <w:p w14:paraId="37A7961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eastAsia="仿宋_GB2312"/>
                <w:color w:val="auto"/>
                <w:sz w:val="18"/>
                <w:szCs w:val="18"/>
                <w:lang w:eastAsia="zh-CN"/>
              </w:rPr>
              <w:t>参与政企结对、项目对接、提供资金、技术和人才帮扶、打造省、市级结对帮扶范例项目</w:t>
            </w:r>
          </w:p>
        </w:tc>
        <w:tc>
          <w:tcPr>
            <w:tcW w:w="1818" w:type="pct"/>
            <w:gridSpan w:val="2"/>
            <w:noWrap w:val="0"/>
            <w:vAlign w:val="center"/>
          </w:tcPr>
          <w:p w14:paraId="4CAE28E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olor w:val="auto"/>
                <w:sz w:val="18"/>
                <w:szCs w:val="18"/>
                <w:lang w:val="en-US" w:eastAsia="zh-CN"/>
              </w:rPr>
              <w:t>每次加1～20分</w:t>
            </w:r>
          </w:p>
        </w:tc>
        <w:tc>
          <w:tcPr>
            <w:tcW w:w="276" w:type="pct"/>
            <w:noWrap w:val="0"/>
            <w:vAlign w:val="center"/>
          </w:tcPr>
          <w:p w14:paraId="32CEA9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kern w:val="2"/>
                <w:sz w:val="18"/>
                <w:szCs w:val="18"/>
                <w:lang w:val="en-US" w:eastAsia="zh-CN" w:bidi="ar-SA"/>
              </w:rPr>
            </w:pPr>
            <w:r>
              <w:rPr>
                <w:rFonts w:hint="eastAsia" w:ascii="仿宋_GB2312" w:hAnsi="宋体" w:eastAsia="仿宋_GB2312"/>
                <w:color w:val="auto"/>
                <w:sz w:val="18"/>
                <w:szCs w:val="18"/>
                <w:lang w:val="en-US" w:eastAsia="zh-CN"/>
              </w:rPr>
              <w:t>1</w:t>
            </w:r>
            <w:r>
              <w:rPr>
                <w:rFonts w:hint="eastAsia" w:ascii="仿宋_GB2312" w:hAnsi="宋体" w:eastAsia="仿宋_GB2312"/>
                <w:color w:val="auto"/>
                <w:sz w:val="18"/>
                <w:szCs w:val="18"/>
              </w:rPr>
              <w:t>年</w:t>
            </w:r>
          </w:p>
        </w:tc>
        <w:tc>
          <w:tcPr>
            <w:tcW w:w="1090" w:type="pct"/>
            <w:noWrap w:val="0"/>
            <w:vAlign w:val="center"/>
          </w:tcPr>
          <w:p w14:paraId="62A8570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kern w:val="2"/>
                <w:sz w:val="18"/>
                <w:szCs w:val="18"/>
                <w:lang w:val="en-US" w:eastAsia="zh-CN" w:bidi="ar-SA"/>
              </w:rPr>
            </w:pPr>
            <w:r>
              <w:rPr>
                <w:rFonts w:hint="eastAsia" w:ascii="仿宋_GB2312" w:hAnsi="Times New Roman" w:eastAsia="仿宋_GB2312" w:cs="Times New Roman"/>
                <w:color w:val="auto"/>
                <w:spacing w:val="0"/>
                <w:sz w:val="18"/>
                <w:szCs w:val="18"/>
                <w:lang w:eastAsia="zh-CN"/>
              </w:rPr>
              <w:t>从通报文件印发之日起计算，具体加分细则详见附件</w:t>
            </w:r>
            <w:r>
              <w:rPr>
                <w:rFonts w:hint="eastAsia" w:ascii="仿宋_GB2312" w:hAnsi="Times New Roman" w:eastAsia="仿宋_GB2312" w:cs="Times New Roman"/>
                <w:color w:val="auto"/>
                <w:spacing w:val="0"/>
                <w:sz w:val="18"/>
                <w:szCs w:val="18"/>
                <w:lang w:val="en-US" w:eastAsia="zh-CN"/>
              </w:rPr>
              <w:t>8</w:t>
            </w:r>
          </w:p>
        </w:tc>
        <w:tc>
          <w:tcPr>
            <w:tcW w:w="374" w:type="pct"/>
            <w:noWrap w:val="0"/>
            <w:vAlign w:val="center"/>
          </w:tcPr>
          <w:p w14:paraId="777F15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pacing w:val="6"/>
                <w:sz w:val="18"/>
                <w:szCs w:val="18"/>
                <w:lang w:eastAsia="zh-CN"/>
              </w:rPr>
            </w:pPr>
            <w:r>
              <w:rPr>
                <w:rFonts w:hint="eastAsia" w:ascii="仿宋_GB2312" w:hAnsi="宋体" w:eastAsia="仿宋_GB2312"/>
                <w:color w:val="auto"/>
                <w:sz w:val="18"/>
                <w:szCs w:val="18"/>
                <w:lang w:eastAsia="zh-CN"/>
              </w:rPr>
              <w:t>所有企业类别</w:t>
            </w:r>
          </w:p>
        </w:tc>
        <w:tc>
          <w:tcPr>
            <w:tcW w:w="622" w:type="pct"/>
            <w:noWrap w:val="0"/>
            <w:vAlign w:val="center"/>
          </w:tcPr>
          <w:p w14:paraId="76CAEB0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kern w:val="2"/>
                <w:sz w:val="18"/>
                <w:szCs w:val="18"/>
                <w:lang w:val="en-US" w:eastAsia="zh-CN" w:bidi="ar-SA"/>
              </w:rPr>
            </w:pPr>
            <w:r>
              <w:rPr>
                <w:rFonts w:hint="eastAsia" w:ascii="仿宋_GB2312" w:hAnsi="宋体" w:eastAsia="仿宋_GB2312"/>
                <w:color w:val="auto"/>
                <w:spacing w:val="6"/>
                <w:sz w:val="18"/>
                <w:szCs w:val="18"/>
                <w:lang w:eastAsia="zh-CN"/>
              </w:rPr>
              <w:t>由市、区住房城乡建设主管部门负责登记</w:t>
            </w:r>
          </w:p>
        </w:tc>
      </w:tr>
      <w:tr w14:paraId="02B8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jc w:val="center"/>
        </w:trPr>
        <w:tc>
          <w:tcPr>
            <w:tcW w:w="137" w:type="pct"/>
            <w:noWrap w:val="0"/>
            <w:vAlign w:val="center"/>
          </w:tcPr>
          <w:p w14:paraId="598E5458">
            <w:pPr>
              <w:numPr>
                <w:ilvl w:val="0"/>
                <w:numId w:val="1"/>
              </w:numPr>
              <w:ind w:left="0" w:leftChars="0" w:firstLine="0" w:firstLineChars="0"/>
              <w:jc w:val="center"/>
              <w:rPr>
                <w:rFonts w:hint="default" w:ascii="仿宋_GB2312" w:eastAsia="仿宋_GB2312"/>
                <w:b/>
                <w:color w:val="auto"/>
                <w:kern w:val="2"/>
                <w:sz w:val="18"/>
                <w:szCs w:val="18"/>
                <w:lang w:val="en-US" w:eastAsia="zh-CN" w:bidi="ar-SA"/>
              </w:rPr>
            </w:pPr>
          </w:p>
        </w:tc>
        <w:tc>
          <w:tcPr>
            <w:tcW w:w="263" w:type="pct"/>
            <w:noWrap w:val="0"/>
            <w:vAlign w:val="center"/>
          </w:tcPr>
          <w:p w14:paraId="27492A20">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履约</w:t>
            </w:r>
          </w:p>
          <w:p w14:paraId="65CEDEFF">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评价</w:t>
            </w:r>
          </w:p>
          <w:p w14:paraId="637AADFC">
            <w:pPr>
              <w:jc w:val="center"/>
              <w:rPr>
                <w:rFonts w:hint="eastAsia" w:ascii="仿宋_GB2312" w:eastAsia="仿宋_GB2312"/>
                <w:b/>
                <w:color w:val="auto"/>
                <w:kern w:val="2"/>
                <w:sz w:val="18"/>
                <w:szCs w:val="18"/>
                <w:lang w:val="en-US" w:eastAsia="zh-CN" w:bidi="ar-SA"/>
              </w:rPr>
            </w:pPr>
            <w:r>
              <w:rPr>
                <w:rFonts w:hint="eastAsia" w:ascii="仿宋_GB2312" w:eastAsia="仿宋_GB2312"/>
                <w:b/>
                <w:color w:val="auto"/>
                <w:sz w:val="18"/>
                <w:szCs w:val="18"/>
                <w:lang w:val="en-US" w:eastAsia="zh-CN"/>
              </w:rPr>
              <w:t>加分</w:t>
            </w:r>
          </w:p>
        </w:tc>
        <w:tc>
          <w:tcPr>
            <w:tcW w:w="415" w:type="pct"/>
            <w:noWrap w:val="0"/>
            <w:vAlign w:val="center"/>
          </w:tcPr>
          <w:p w14:paraId="362BC7D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eastAsia="仿宋_GB2312"/>
                <w:color w:val="auto"/>
                <w:sz w:val="18"/>
                <w:szCs w:val="18"/>
                <w:lang w:eastAsia="zh-CN"/>
              </w:rPr>
              <w:t>在房屋市政工程建设项目有合同履约评价结果的</w:t>
            </w:r>
          </w:p>
        </w:tc>
        <w:tc>
          <w:tcPr>
            <w:tcW w:w="1818" w:type="pct"/>
            <w:gridSpan w:val="2"/>
            <w:noWrap w:val="0"/>
            <w:vAlign w:val="center"/>
          </w:tcPr>
          <w:p w14:paraId="462D5DC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olor w:val="auto"/>
                <w:sz w:val="18"/>
                <w:szCs w:val="18"/>
                <w:lang w:eastAsia="zh-CN"/>
              </w:rPr>
            </w:pPr>
            <w:r>
              <w:rPr>
                <w:rFonts w:hint="eastAsia" w:ascii="仿宋_GB2312" w:hAnsi="仿宋_GB2312" w:eastAsia="仿宋_GB2312" w:cs="Times New Roman"/>
                <w:color w:val="auto"/>
                <w:sz w:val="18"/>
                <w:szCs w:val="18"/>
                <w:lang w:eastAsia="zh-CN"/>
              </w:rPr>
              <w:t>评价结果</w:t>
            </w:r>
            <w:r>
              <w:rPr>
                <w:rFonts w:hint="eastAsia" w:ascii="仿宋_GB2312" w:hAnsi="仿宋_GB2312" w:eastAsia="仿宋_GB2312" w:cs="Times New Roman"/>
                <w:color w:val="auto"/>
                <w:sz w:val="18"/>
                <w:szCs w:val="18"/>
                <w:lang w:val="en-US" w:eastAsia="zh-CN"/>
              </w:rPr>
              <w:t>为95～100分的，加10分；</w:t>
            </w:r>
          </w:p>
          <w:p w14:paraId="3505A71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olor w:val="auto"/>
                <w:sz w:val="18"/>
                <w:szCs w:val="18"/>
                <w:lang w:val="en-US" w:eastAsia="zh-CN"/>
              </w:rPr>
            </w:pPr>
            <w:r>
              <w:rPr>
                <w:rFonts w:hint="eastAsia" w:ascii="仿宋_GB2312" w:hAnsi="仿宋_GB2312" w:eastAsia="仿宋_GB2312"/>
                <w:color w:val="auto"/>
                <w:sz w:val="18"/>
                <w:szCs w:val="18"/>
                <w:lang w:eastAsia="zh-CN"/>
              </w:rPr>
              <w:t>评价结果为</w:t>
            </w:r>
            <w:r>
              <w:rPr>
                <w:rFonts w:hint="eastAsia" w:ascii="仿宋_GB2312" w:hAnsi="仿宋_GB2312" w:eastAsia="仿宋_GB2312"/>
                <w:color w:val="auto"/>
                <w:sz w:val="18"/>
                <w:szCs w:val="18"/>
                <w:lang w:val="en-US" w:eastAsia="zh-CN"/>
              </w:rPr>
              <w:t>90～95分（不含95分）的，加7分；</w:t>
            </w:r>
          </w:p>
          <w:p w14:paraId="1CA462B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olor w:val="auto"/>
                <w:sz w:val="18"/>
                <w:szCs w:val="18"/>
                <w:lang w:eastAsia="zh-CN"/>
              </w:rPr>
              <w:t>评价结果</w:t>
            </w:r>
            <w:r>
              <w:rPr>
                <w:rFonts w:hint="eastAsia" w:ascii="仿宋_GB2312" w:hAnsi="仿宋_GB2312" w:eastAsia="仿宋_GB2312"/>
                <w:color w:val="auto"/>
                <w:sz w:val="18"/>
                <w:szCs w:val="18"/>
                <w:lang w:val="en-US" w:eastAsia="zh-CN"/>
              </w:rPr>
              <w:t>85～90分（不含90分）的，加5分</w:t>
            </w:r>
          </w:p>
        </w:tc>
        <w:tc>
          <w:tcPr>
            <w:tcW w:w="276" w:type="pct"/>
            <w:noWrap w:val="0"/>
            <w:vAlign w:val="center"/>
          </w:tcPr>
          <w:p w14:paraId="57A4D9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kern w:val="2"/>
                <w:sz w:val="18"/>
                <w:szCs w:val="18"/>
                <w:lang w:val="en-US" w:eastAsia="zh-CN" w:bidi="ar-SA"/>
              </w:rPr>
            </w:pPr>
            <w:r>
              <w:rPr>
                <w:rFonts w:hint="eastAsia" w:ascii="仿宋_GB2312" w:hAnsi="宋体" w:eastAsia="仿宋_GB2312"/>
                <w:color w:val="auto"/>
                <w:sz w:val="18"/>
                <w:szCs w:val="18"/>
                <w:lang w:val="en-US" w:eastAsia="zh-CN"/>
              </w:rPr>
              <w:t>1年</w:t>
            </w:r>
          </w:p>
        </w:tc>
        <w:tc>
          <w:tcPr>
            <w:tcW w:w="1090" w:type="pct"/>
            <w:noWrap w:val="0"/>
            <w:vAlign w:val="center"/>
          </w:tcPr>
          <w:p w14:paraId="65320FF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hAnsi="宋体" w:eastAsia="仿宋_GB2312"/>
                <w:color w:val="auto"/>
                <w:spacing w:val="-6"/>
                <w:sz w:val="18"/>
                <w:szCs w:val="18"/>
                <w:lang w:eastAsia="zh-CN"/>
              </w:rPr>
            </w:pPr>
            <w:r>
              <w:rPr>
                <w:rFonts w:hint="eastAsia" w:ascii="仿宋_GB2312" w:hAnsi="宋体" w:eastAsia="仿宋_GB2312"/>
                <w:color w:val="auto"/>
                <w:spacing w:val="-6"/>
                <w:sz w:val="18"/>
                <w:szCs w:val="18"/>
                <w:lang w:val="en-US" w:eastAsia="zh-CN"/>
              </w:rPr>
              <w:t>1.</w:t>
            </w:r>
            <w:r>
              <w:rPr>
                <w:rFonts w:hint="eastAsia" w:ascii="仿宋_GB2312" w:hAnsi="宋体" w:eastAsia="仿宋_GB2312"/>
                <w:color w:val="auto"/>
                <w:spacing w:val="-6"/>
                <w:sz w:val="18"/>
                <w:szCs w:val="18"/>
                <w:lang w:eastAsia="zh-CN"/>
              </w:rPr>
              <w:t>评价的对象为在评价周期内有承建政府投资项目的建筑行业企业；</w:t>
            </w:r>
          </w:p>
          <w:p w14:paraId="24E94D2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kern w:val="2"/>
                <w:sz w:val="18"/>
                <w:szCs w:val="18"/>
                <w:lang w:val="en-US" w:eastAsia="zh-CN" w:bidi="ar-SA"/>
              </w:rPr>
            </w:pPr>
            <w:r>
              <w:rPr>
                <w:rFonts w:hint="eastAsia" w:ascii="仿宋_GB2312" w:eastAsia="仿宋_GB2312"/>
                <w:color w:val="auto"/>
                <w:sz w:val="18"/>
                <w:szCs w:val="18"/>
                <w:lang w:val="en-US" w:eastAsia="zh-CN"/>
              </w:rPr>
              <w:t>2.</w:t>
            </w:r>
            <w:r>
              <w:rPr>
                <w:rFonts w:hint="eastAsia" w:ascii="仿宋_GB2312" w:eastAsia="仿宋_GB2312"/>
                <w:color w:val="auto"/>
                <w:sz w:val="18"/>
                <w:szCs w:val="18"/>
                <w:lang w:eastAsia="zh-CN"/>
              </w:rPr>
              <w:t>一份合同对应一个评价得分。</w:t>
            </w:r>
          </w:p>
        </w:tc>
        <w:tc>
          <w:tcPr>
            <w:tcW w:w="374" w:type="pct"/>
            <w:noWrap w:val="0"/>
            <w:vAlign w:val="center"/>
          </w:tcPr>
          <w:p w14:paraId="43E162E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lang w:eastAsia="zh-CN"/>
              </w:rPr>
            </w:pPr>
            <w:r>
              <w:rPr>
                <w:rFonts w:hint="eastAsia" w:ascii="仿宋_GB2312" w:hAnsi="宋体" w:eastAsia="仿宋_GB2312"/>
                <w:color w:val="auto"/>
                <w:sz w:val="18"/>
                <w:szCs w:val="18"/>
                <w:lang w:eastAsia="zh-CN"/>
              </w:rPr>
              <w:t>建筑业企业（施工）、</w:t>
            </w:r>
          </w:p>
          <w:p w14:paraId="4C51B30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color w:val="auto"/>
                <w:sz w:val="18"/>
                <w:szCs w:val="18"/>
                <w:lang w:eastAsia="zh-CN"/>
              </w:rPr>
            </w:pPr>
            <w:r>
              <w:rPr>
                <w:rFonts w:hint="eastAsia" w:ascii="仿宋_GB2312" w:hAnsi="宋体" w:eastAsia="仿宋_GB2312"/>
                <w:color w:val="auto"/>
                <w:sz w:val="18"/>
                <w:szCs w:val="18"/>
                <w:lang w:eastAsia="zh-CN"/>
              </w:rPr>
              <w:t>工程监理企业等</w:t>
            </w:r>
          </w:p>
        </w:tc>
        <w:tc>
          <w:tcPr>
            <w:tcW w:w="622" w:type="pct"/>
            <w:noWrap w:val="0"/>
            <w:vAlign w:val="center"/>
          </w:tcPr>
          <w:p w14:paraId="752C7D8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kern w:val="2"/>
                <w:sz w:val="18"/>
                <w:szCs w:val="18"/>
                <w:lang w:val="en-US" w:eastAsia="zh-CN" w:bidi="ar-SA"/>
              </w:rPr>
            </w:pPr>
            <w:r>
              <w:rPr>
                <w:rFonts w:hint="eastAsia" w:ascii="仿宋_GB2312" w:hAnsi="宋体" w:eastAsia="仿宋_GB2312"/>
                <w:color w:val="auto"/>
                <w:spacing w:val="6"/>
                <w:sz w:val="18"/>
                <w:szCs w:val="18"/>
                <w:lang w:eastAsia="zh-CN"/>
              </w:rPr>
              <w:t>由区住房城乡建设主管部门确认</w:t>
            </w:r>
          </w:p>
        </w:tc>
      </w:tr>
      <w:tr w14:paraId="5FFA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2" w:hRule="atLeast"/>
          <w:jc w:val="center"/>
        </w:trPr>
        <w:tc>
          <w:tcPr>
            <w:tcW w:w="137" w:type="pct"/>
            <w:noWrap w:val="0"/>
            <w:vAlign w:val="center"/>
          </w:tcPr>
          <w:p w14:paraId="4B9AA07A">
            <w:pPr>
              <w:numPr>
                <w:ilvl w:val="0"/>
                <w:numId w:val="1"/>
              </w:numPr>
              <w:ind w:left="0" w:leftChars="0" w:firstLine="0" w:firstLineChars="0"/>
              <w:jc w:val="center"/>
              <w:rPr>
                <w:rFonts w:hint="default" w:ascii="仿宋_GB2312" w:eastAsia="仿宋_GB2312"/>
                <w:b/>
                <w:color w:val="auto"/>
                <w:kern w:val="2"/>
                <w:sz w:val="18"/>
                <w:szCs w:val="18"/>
                <w:lang w:val="en-US" w:eastAsia="zh-CN" w:bidi="ar-SA"/>
              </w:rPr>
            </w:pPr>
          </w:p>
        </w:tc>
        <w:tc>
          <w:tcPr>
            <w:tcW w:w="263" w:type="pct"/>
            <w:noWrap w:val="0"/>
            <w:vAlign w:val="center"/>
          </w:tcPr>
          <w:p w14:paraId="44DF9A8A">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行业</w:t>
            </w:r>
          </w:p>
          <w:p w14:paraId="6FB86A54">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评价</w:t>
            </w:r>
          </w:p>
          <w:p w14:paraId="73F5D52B">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结果</w:t>
            </w:r>
          </w:p>
          <w:p w14:paraId="1BB1EB31">
            <w:pPr>
              <w:jc w:val="center"/>
              <w:rPr>
                <w:rFonts w:hint="eastAsia" w:ascii="仿宋_GB2312" w:eastAsia="仿宋_GB2312"/>
                <w:b/>
                <w:color w:val="auto"/>
                <w:kern w:val="2"/>
                <w:sz w:val="18"/>
                <w:szCs w:val="18"/>
                <w:lang w:val="en-US" w:eastAsia="zh-CN" w:bidi="ar-SA"/>
              </w:rPr>
            </w:pPr>
            <w:r>
              <w:rPr>
                <w:rFonts w:hint="eastAsia" w:ascii="仿宋_GB2312" w:eastAsia="仿宋_GB2312"/>
                <w:b/>
                <w:color w:val="auto"/>
                <w:sz w:val="18"/>
                <w:szCs w:val="18"/>
                <w:lang w:val="en-US" w:eastAsia="zh-CN"/>
              </w:rPr>
              <w:t>加分</w:t>
            </w:r>
          </w:p>
        </w:tc>
        <w:tc>
          <w:tcPr>
            <w:tcW w:w="415" w:type="pct"/>
            <w:noWrap w:val="0"/>
            <w:vAlign w:val="center"/>
          </w:tcPr>
          <w:p w14:paraId="2B333A2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eastAsia="仿宋_GB2312"/>
                <w:color w:val="auto"/>
                <w:sz w:val="18"/>
                <w:szCs w:val="18"/>
                <w:lang w:eastAsia="zh-CN"/>
              </w:rPr>
              <w:t>承建或参建的房屋建筑工程建设项目有行业评价结果的</w:t>
            </w:r>
          </w:p>
        </w:tc>
        <w:tc>
          <w:tcPr>
            <w:tcW w:w="1818" w:type="pct"/>
            <w:gridSpan w:val="2"/>
            <w:noWrap w:val="0"/>
            <w:vAlign w:val="center"/>
          </w:tcPr>
          <w:p w14:paraId="55C28AA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olor w:val="auto"/>
                <w:sz w:val="18"/>
                <w:szCs w:val="18"/>
                <w:lang w:val="en-US" w:eastAsia="zh-CN"/>
              </w:rPr>
            </w:pPr>
            <w:r>
              <w:rPr>
                <w:rFonts w:hint="eastAsia" w:ascii="仿宋_GB2312" w:hAnsi="仿宋_GB2312" w:eastAsia="仿宋_GB2312"/>
                <w:color w:val="auto"/>
                <w:sz w:val="18"/>
                <w:szCs w:val="18"/>
                <w:lang w:val="en-US" w:eastAsia="zh-CN"/>
              </w:rPr>
              <w:t>施工类：</w:t>
            </w:r>
          </w:p>
          <w:p w14:paraId="5DC2580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olor w:val="auto"/>
                <w:sz w:val="18"/>
                <w:szCs w:val="18"/>
                <w:lang w:val="en-US" w:eastAsia="zh-CN"/>
              </w:rPr>
            </w:pPr>
            <w:r>
              <w:rPr>
                <w:rFonts w:hint="eastAsia" w:ascii="仿宋_GB2312" w:hAnsi="仿宋_GB2312" w:eastAsia="仿宋_GB2312"/>
                <w:color w:val="auto"/>
                <w:sz w:val="18"/>
                <w:szCs w:val="18"/>
                <w:lang w:val="en-US" w:eastAsia="zh-CN"/>
              </w:rPr>
              <w:t>承建的，加7分</w:t>
            </w:r>
          </w:p>
          <w:p w14:paraId="1F4E160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olor w:val="auto"/>
                <w:sz w:val="18"/>
                <w:szCs w:val="18"/>
                <w:lang w:val="en-US" w:eastAsia="zh-CN"/>
              </w:rPr>
            </w:pPr>
            <w:r>
              <w:rPr>
                <w:rFonts w:hint="eastAsia" w:ascii="仿宋_GB2312" w:hAnsi="仿宋_GB2312" w:eastAsia="仿宋_GB2312"/>
                <w:color w:val="auto"/>
                <w:sz w:val="18"/>
                <w:szCs w:val="18"/>
                <w:lang w:val="en-US" w:eastAsia="zh-CN"/>
              </w:rPr>
              <w:t>参建的，加2分</w:t>
            </w:r>
          </w:p>
          <w:p w14:paraId="3F1F33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Times New Roman"/>
                <w:color w:val="auto"/>
                <w:sz w:val="18"/>
                <w:szCs w:val="18"/>
                <w:highlight w:val="none"/>
                <w:lang w:val="en-US" w:eastAsia="zh-CN"/>
              </w:rPr>
            </w:pPr>
            <w:r>
              <w:rPr>
                <w:rFonts w:hint="eastAsia" w:ascii="仿宋_GB2312" w:hAnsi="仿宋_GB2312" w:eastAsia="仿宋_GB2312" w:cs="Times New Roman"/>
                <w:color w:val="auto"/>
                <w:sz w:val="18"/>
                <w:szCs w:val="18"/>
                <w:highlight w:val="none"/>
                <w:lang w:val="en-US" w:eastAsia="zh-CN"/>
              </w:rPr>
              <w:t>其他类：</w:t>
            </w:r>
          </w:p>
          <w:p w14:paraId="5E6A506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仿宋_GB2312" w:hAnsi="仿宋_GB2312" w:eastAsia="仿宋_GB2312" w:cs="Times New Roman"/>
                <w:color w:val="auto"/>
                <w:sz w:val="18"/>
                <w:szCs w:val="18"/>
                <w:highlight w:val="none"/>
                <w:lang w:val="en-US" w:eastAsia="zh-CN"/>
              </w:rPr>
            </w:pPr>
            <w:r>
              <w:rPr>
                <w:rFonts w:hint="eastAsia" w:ascii="仿宋_GB2312" w:hAnsi="仿宋_GB2312" w:eastAsia="仿宋_GB2312" w:cs="Times New Roman"/>
                <w:color w:val="auto"/>
                <w:sz w:val="18"/>
                <w:szCs w:val="18"/>
                <w:highlight w:val="none"/>
                <w:lang w:val="en-US" w:eastAsia="zh-CN"/>
              </w:rPr>
              <w:t>根据不同层级，加2～5分</w:t>
            </w:r>
          </w:p>
        </w:tc>
        <w:tc>
          <w:tcPr>
            <w:tcW w:w="276" w:type="pct"/>
            <w:noWrap w:val="0"/>
            <w:vAlign w:val="center"/>
          </w:tcPr>
          <w:p w14:paraId="1E5939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kern w:val="2"/>
                <w:sz w:val="18"/>
                <w:szCs w:val="18"/>
                <w:lang w:val="en-US" w:eastAsia="zh-CN" w:bidi="ar-SA"/>
              </w:rPr>
            </w:pPr>
            <w:r>
              <w:rPr>
                <w:rFonts w:hint="eastAsia" w:ascii="仿宋_GB2312" w:hAnsi="宋体" w:eastAsia="仿宋_GB2312"/>
                <w:color w:val="auto"/>
                <w:sz w:val="18"/>
                <w:szCs w:val="18"/>
                <w:lang w:val="en-US" w:eastAsia="zh-CN"/>
              </w:rPr>
              <w:t>1年</w:t>
            </w:r>
          </w:p>
        </w:tc>
        <w:tc>
          <w:tcPr>
            <w:tcW w:w="1090" w:type="pct"/>
            <w:noWrap w:val="0"/>
            <w:vAlign w:val="center"/>
          </w:tcPr>
          <w:p w14:paraId="78D7D29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highlight w:val="none"/>
                <w:u w:val="none"/>
                <w:lang w:eastAsia="zh-CN"/>
              </w:rPr>
            </w:pPr>
            <w:r>
              <w:rPr>
                <w:rFonts w:hint="eastAsia" w:ascii="仿宋_GB2312" w:hAnsi="宋体" w:eastAsia="仿宋_GB2312"/>
                <w:color w:val="auto"/>
                <w:sz w:val="18"/>
                <w:szCs w:val="18"/>
                <w:u w:val="none"/>
                <w:lang w:val="en-US" w:eastAsia="zh-CN"/>
              </w:rPr>
              <w:t>1.加分有效期</w:t>
            </w:r>
            <w:r>
              <w:rPr>
                <w:rFonts w:hint="eastAsia" w:ascii="仿宋_GB2312" w:hAnsi="宋体" w:eastAsia="仿宋_GB2312"/>
                <w:color w:val="auto"/>
                <w:sz w:val="18"/>
                <w:szCs w:val="18"/>
                <w:u w:val="none"/>
              </w:rPr>
              <w:t>从</w:t>
            </w:r>
            <w:r>
              <w:rPr>
                <w:rFonts w:hint="eastAsia" w:ascii="仿宋_GB2312" w:hAnsi="宋体" w:eastAsia="仿宋_GB2312"/>
                <w:color w:val="auto"/>
                <w:sz w:val="18"/>
                <w:szCs w:val="18"/>
                <w:u w:val="none"/>
                <w:lang w:eastAsia="zh-CN"/>
              </w:rPr>
              <w:t>评价文件印发之日</w:t>
            </w:r>
            <w:r>
              <w:rPr>
                <w:rFonts w:hint="eastAsia" w:ascii="仿宋_GB2312" w:hAnsi="宋体" w:eastAsia="仿宋_GB2312"/>
                <w:color w:val="auto"/>
                <w:sz w:val="18"/>
                <w:szCs w:val="18"/>
                <w:u w:val="none"/>
              </w:rPr>
              <w:t>起计算</w:t>
            </w:r>
            <w:r>
              <w:rPr>
                <w:rFonts w:hint="eastAsia" w:ascii="仿宋_GB2312" w:hAnsi="宋体" w:eastAsia="仿宋_GB2312"/>
                <w:color w:val="auto"/>
                <w:sz w:val="18"/>
                <w:szCs w:val="18"/>
                <w:u w:val="none"/>
                <w:lang w:eastAsia="zh-CN"/>
              </w:rPr>
              <w:t>；</w:t>
            </w:r>
            <w:r>
              <w:rPr>
                <w:rFonts w:hint="eastAsia" w:ascii="仿宋_GB2312" w:hAnsi="宋体" w:eastAsia="仿宋_GB2312"/>
                <w:color w:val="auto"/>
                <w:sz w:val="18"/>
                <w:szCs w:val="18"/>
                <w:highlight w:val="none"/>
                <w:u w:val="none"/>
                <w:lang w:eastAsia="zh-CN"/>
              </w:rPr>
              <w:t>以市住房城乡建设主管部门</w:t>
            </w:r>
            <w:r>
              <w:rPr>
                <w:rFonts w:hint="eastAsia" w:ascii="仿宋_GB2312" w:hAnsi="宋体" w:eastAsia="仿宋_GB2312"/>
                <w:color w:val="auto"/>
                <w:sz w:val="18"/>
                <w:szCs w:val="18"/>
                <w:highlight w:val="none"/>
                <w:u w:val="none"/>
                <w:lang w:val="en-US" w:eastAsia="zh-CN"/>
              </w:rPr>
              <w:t>指导的行业协会（市建筑业协会、</w:t>
            </w:r>
            <w:r>
              <w:rPr>
                <w:rFonts w:hint="eastAsia" w:ascii="仿宋_GB2312" w:hAnsi="宋体" w:eastAsia="仿宋_GB2312" w:cs="宋体"/>
                <w:color w:val="auto"/>
                <w:kern w:val="0"/>
                <w:sz w:val="18"/>
                <w:szCs w:val="18"/>
                <w:highlight w:val="none"/>
              </w:rPr>
              <w:t>市勘察设计协会</w:t>
            </w:r>
            <w:r>
              <w:rPr>
                <w:rFonts w:hint="eastAsia" w:ascii="仿宋_GB2312" w:hAnsi="宋体" w:eastAsia="仿宋_GB2312" w:cs="宋体"/>
                <w:color w:val="auto"/>
                <w:kern w:val="0"/>
                <w:sz w:val="18"/>
                <w:szCs w:val="18"/>
                <w:highlight w:val="none"/>
                <w:lang w:eastAsia="zh-CN"/>
              </w:rPr>
              <w:t>、市装配式建筑与智能建造协会</w:t>
            </w:r>
            <w:r>
              <w:rPr>
                <w:rFonts w:hint="eastAsia" w:ascii="仿宋_GB2312" w:hAnsi="宋体" w:eastAsia="仿宋_GB2312"/>
                <w:color w:val="auto"/>
                <w:sz w:val="18"/>
                <w:szCs w:val="18"/>
                <w:highlight w:val="none"/>
                <w:u w:val="none"/>
                <w:lang w:val="en-US" w:eastAsia="zh-CN"/>
              </w:rPr>
              <w:t>、</w:t>
            </w:r>
            <w:r>
              <w:rPr>
                <w:rFonts w:hint="eastAsia" w:ascii="仿宋_GB2312" w:hAnsi="宋体" w:eastAsia="仿宋_GB2312" w:cs="宋体"/>
                <w:color w:val="auto"/>
                <w:kern w:val="0"/>
                <w:sz w:val="18"/>
                <w:szCs w:val="18"/>
                <w:highlight w:val="none"/>
              </w:rPr>
              <w:t>市全过程工程咨询管理协会</w:t>
            </w:r>
            <w:r>
              <w:rPr>
                <w:rFonts w:hint="eastAsia" w:ascii="仿宋_GB2312" w:hAnsi="宋体" w:eastAsia="仿宋_GB2312" w:cs="宋体"/>
                <w:color w:val="auto"/>
                <w:kern w:val="0"/>
                <w:sz w:val="18"/>
                <w:szCs w:val="18"/>
                <w:highlight w:val="none"/>
                <w:lang w:eastAsia="zh-CN"/>
              </w:rPr>
              <w:t>、</w:t>
            </w:r>
            <w:r>
              <w:rPr>
                <w:rFonts w:hint="eastAsia" w:ascii="仿宋_GB2312" w:hAnsi="宋体" w:eastAsia="仿宋_GB2312" w:cs="宋体"/>
                <w:color w:val="auto"/>
                <w:kern w:val="0"/>
                <w:sz w:val="18"/>
                <w:szCs w:val="18"/>
                <w:highlight w:val="none"/>
              </w:rPr>
              <w:t>市绿色建筑与节能协会</w:t>
            </w:r>
            <w:r>
              <w:rPr>
                <w:rFonts w:hint="eastAsia" w:ascii="仿宋_GB2312" w:hAnsi="宋体" w:eastAsia="仿宋_GB2312"/>
                <w:color w:val="auto"/>
                <w:sz w:val="18"/>
                <w:szCs w:val="18"/>
                <w:highlight w:val="none"/>
                <w:u w:val="none"/>
                <w:lang w:val="en-US" w:eastAsia="zh-CN"/>
              </w:rPr>
              <w:t>）印发的评价文件为准；年度相关评价</w:t>
            </w:r>
            <w:r>
              <w:rPr>
                <w:rFonts w:hint="eastAsia" w:ascii="仿宋_GB2312" w:hAnsi="宋体" w:eastAsia="仿宋_GB2312"/>
                <w:color w:val="auto"/>
                <w:sz w:val="18"/>
                <w:szCs w:val="18"/>
                <w:u w:val="none"/>
                <w:lang w:val="en-US" w:eastAsia="zh-CN"/>
              </w:rPr>
              <w:t>活动实施方案未经市住房城乡建设主管部门审核同意并批复的，其评价结果不纳入诚信加分范畴；</w:t>
            </w:r>
          </w:p>
          <w:p w14:paraId="43575CF7">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u w:val="none"/>
                <w:lang w:eastAsia="zh-CN"/>
              </w:rPr>
            </w:pPr>
            <w:r>
              <w:rPr>
                <w:rFonts w:hint="eastAsia" w:ascii="仿宋_GB2312" w:hAnsi="宋体" w:eastAsia="仿宋_GB2312"/>
                <w:color w:val="auto"/>
                <w:sz w:val="18"/>
                <w:szCs w:val="18"/>
                <w:u w:val="none"/>
                <w:lang w:val="en-US" w:eastAsia="zh-CN"/>
              </w:rPr>
              <w:t>2.评价情况需关联具体工程项目，仅限于</w:t>
            </w:r>
            <w:r>
              <w:rPr>
                <w:rFonts w:hint="eastAsia" w:ascii="仿宋_GB2312" w:hAnsi="宋体" w:eastAsia="仿宋_GB2312"/>
                <w:color w:val="auto"/>
                <w:sz w:val="18"/>
                <w:szCs w:val="18"/>
                <w:u w:val="none"/>
                <w:lang w:eastAsia="zh-CN"/>
              </w:rPr>
              <w:t>住房城乡建设主管部门监管范围内房屋建筑工程项目</w:t>
            </w:r>
            <w:r>
              <w:rPr>
                <w:rFonts w:hint="eastAsia" w:ascii="仿宋_GB2312" w:hAnsi="宋体" w:eastAsia="仿宋_GB2312"/>
                <w:color w:val="auto"/>
                <w:sz w:val="18"/>
                <w:szCs w:val="18"/>
                <w:u w:val="none"/>
                <w:lang w:val="en-US" w:eastAsia="zh-CN"/>
              </w:rPr>
              <w:t>；</w:t>
            </w:r>
          </w:p>
          <w:p w14:paraId="1DCE5DAA">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u w:val="none"/>
                <w:lang w:val="en-US" w:eastAsia="zh-CN"/>
              </w:rPr>
            </w:pPr>
            <w:r>
              <w:rPr>
                <w:rFonts w:hint="eastAsia" w:ascii="仿宋_GB2312" w:hAnsi="宋体" w:eastAsia="仿宋_GB2312"/>
                <w:color w:val="auto"/>
                <w:sz w:val="18"/>
                <w:szCs w:val="18"/>
                <w:u w:val="none"/>
                <w:lang w:val="en-US" w:eastAsia="zh-CN"/>
              </w:rPr>
              <w:t>3.关联工程项目，需已依法依规办理报建报监等手续</w:t>
            </w:r>
          </w:p>
        </w:tc>
        <w:tc>
          <w:tcPr>
            <w:tcW w:w="374" w:type="pct"/>
            <w:noWrap w:val="0"/>
            <w:vAlign w:val="center"/>
          </w:tcPr>
          <w:p w14:paraId="0E82F2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spacing w:val="6"/>
                <w:sz w:val="18"/>
                <w:szCs w:val="18"/>
                <w:lang w:eastAsia="zh-CN"/>
              </w:rPr>
            </w:pPr>
            <w:r>
              <w:rPr>
                <w:rFonts w:hint="eastAsia" w:ascii="仿宋_GB2312" w:hAnsi="宋体" w:eastAsia="仿宋_GB2312"/>
                <w:color w:val="auto"/>
                <w:sz w:val="18"/>
                <w:szCs w:val="18"/>
                <w:lang w:eastAsia="zh-CN"/>
              </w:rPr>
              <w:t>所有企业类别</w:t>
            </w:r>
          </w:p>
        </w:tc>
        <w:tc>
          <w:tcPr>
            <w:tcW w:w="622" w:type="pct"/>
            <w:noWrap w:val="0"/>
            <w:vAlign w:val="center"/>
          </w:tcPr>
          <w:p w14:paraId="7B2552C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kern w:val="2"/>
                <w:sz w:val="18"/>
                <w:szCs w:val="18"/>
                <w:lang w:val="en-US" w:eastAsia="zh-CN" w:bidi="ar-SA"/>
              </w:rPr>
            </w:pPr>
            <w:r>
              <w:rPr>
                <w:rFonts w:hint="eastAsia" w:ascii="仿宋_GB2312" w:hAnsi="宋体" w:eastAsia="仿宋_GB2312"/>
                <w:color w:val="auto"/>
                <w:spacing w:val="6"/>
                <w:sz w:val="18"/>
                <w:szCs w:val="18"/>
                <w:lang w:eastAsia="zh-CN"/>
              </w:rPr>
              <w:t>由市住房城乡建设主管部门审核</w:t>
            </w:r>
          </w:p>
        </w:tc>
      </w:tr>
      <w:tr w14:paraId="2A31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7" w:hRule="atLeast"/>
          <w:jc w:val="center"/>
        </w:trPr>
        <w:tc>
          <w:tcPr>
            <w:tcW w:w="137" w:type="pct"/>
            <w:noWrap w:val="0"/>
            <w:vAlign w:val="center"/>
          </w:tcPr>
          <w:p w14:paraId="381B5172">
            <w:pPr>
              <w:numPr>
                <w:ilvl w:val="0"/>
                <w:numId w:val="1"/>
              </w:numPr>
              <w:ind w:left="0" w:leftChars="0" w:firstLine="0" w:firstLineChars="0"/>
              <w:jc w:val="center"/>
              <w:rPr>
                <w:rFonts w:hint="default" w:ascii="仿宋_GB2312" w:eastAsia="仿宋_GB2312"/>
                <w:b/>
                <w:color w:val="auto"/>
                <w:kern w:val="2"/>
                <w:sz w:val="18"/>
                <w:szCs w:val="18"/>
                <w:lang w:val="en-US" w:eastAsia="zh-CN" w:bidi="ar-SA"/>
              </w:rPr>
            </w:pPr>
          </w:p>
        </w:tc>
        <w:tc>
          <w:tcPr>
            <w:tcW w:w="263" w:type="pct"/>
            <w:noWrap w:val="0"/>
            <w:vAlign w:val="center"/>
          </w:tcPr>
          <w:p w14:paraId="5565A7AC">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办理</w:t>
            </w:r>
          </w:p>
          <w:p w14:paraId="5CC9E57D">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合同</w:t>
            </w:r>
          </w:p>
          <w:p w14:paraId="08BE9B8C">
            <w:pPr>
              <w:jc w:val="center"/>
              <w:rPr>
                <w:rFonts w:hint="eastAsia" w:ascii="仿宋_GB2312" w:eastAsia="仿宋_GB2312"/>
                <w:b/>
                <w:color w:val="auto"/>
                <w:sz w:val="18"/>
                <w:szCs w:val="18"/>
                <w:lang w:val="en-US" w:eastAsia="zh-CN"/>
              </w:rPr>
            </w:pPr>
            <w:r>
              <w:rPr>
                <w:rFonts w:hint="eastAsia" w:ascii="仿宋_GB2312" w:eastAsia="仿宋_GB2312"/>
                <w:b/>
                <w:color w:val="auto"/>
                <w:sz w:val="18"/>
                <w:szCs w:val="18"/>
                <w:lang w:val="en-US" w:eastAsia="zh-CN"/>
              </w:rPr>
              <w:t>网签</w:t>
            </w:r>
          </w:p>
          <w:p w14:paraId="7654B3F3">
            <w:pPr>
              <w:jc w:val="center"/>
              <w:rPr>
                <w:rFonts w:hint="eastAsia" w:ascii="仿宋_GB2312" w:eastAsia="仿宋_GB2312"/>
                <w:b/>
                <w:color w:val="auto"/>
                <w:kern w:val="2"/>
                <w:sz w:val="18"/>
                <w:szCs w:val="18"/>
                <w:lang w:val="en-US" w:eastAsia="zh-CN" w:bidi="ar-SA"/>
              </w:rPr>
            </w:pPr>
            <w:r>
              <w:rPr>
                <w:rFonts w:hint="eastAsia" w:ascii="仿宋_GB2312" w:eastAsia="仿宋_GB2312"/>
                <w:b/>
                <w:color w:val="auto"/>
                <w:sz w:val="18"/>
                <w:szCs w:val="18"/>
                <w:lang w:val="en-US" w:eastAsia="zh-CN"/>
              </w:rPr>
              <w:t>加分</w:t>
            </w:r>
          </w:p>
        </w:tc>
        <w:tc>
          <w:tcPr>
            <w:tcW w:w="415" w:type="pct"/>
            <w:noWrap w:val="0"/>
            <w:vAlign w:val="center"/>
          </w:tcPr>
          <w:p w14:paraId="2206D1E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olor w:val="auto"/>
                <w:sz w:val="18"/>
                <w:szCs w:val="18"/>
                <w:lang w:eastAsia="zh-CN"/>
              </w:rPr>
              <w:t>办理合同网签的</w:t>
            </w:r>
          </w:p>
        </w:tc>
        <w:tc>
          <w:tcPr>
            <w:tcW w:w="1818" w:type="pct"/>
            <w:gridSpan w:val="2"/>
            <w:noWrap w:val="0"/>
            <w:vAlign w:val="center"/>
          </w:tcPr>
          <w:p w14:paraId="3673F92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olor w:val="auto"/>
                <w:sz w:val="18"/>
                <w:szCs w:val="18"/>
                <w:highlight w:val="none"/>
                <w:lang w:eastAsia="zh-CN"/>
              </w:rPr>
              <w:t>每份合同加</w:t>
            </w:r>
            <w:r>
              <w:rPr>
                <w:rFonts w:hint="eastAsia" w:ascii="仿宋_GB2312" w:hAnsi="仿宋_GB2312" w:eastAsia="仿宋_GB2312"/>
                <w:color w:val="auto"/>
                <w:sz w:val="18"/>
                <w:szCs w:val="18"/>
                <w:highlight w:val="none"/>
                <w:lang w:val="en-US" w:eastAsia="zh-CN"/>
              </w:rPr>
              <w:t>1分（加分上限50分）</w:t>
            </w:r>
          </w:p>
        </w:tc>
        <w:tc>
          <w:tcPr>
            <w:tcW w:w="276" w:type="pct"/>
            <w:noWrap w:val="0"/>
            <w:vAlign w:val="center"/>
          </w:tcPr>
          <w:p w14:paraId="1D81A7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eastAsia="仿宋_GB2312"/>
                <w:color w:val="auto"/>
                <w:kern w:val="2"/>
                <w:sz w:val="18"/>
                <w:szCs w:val="18"/>
                <w:lang w:val="en-US" w:eastAsia="zh-CN" w:bidi="ar-SA"/>
              </w:rPr>
            </w:pPr>
            <w:r>
              <w:rPr>
                <w:rFonts w:hint="eastAsia" w:ascii="仿宋_GB2312" w:hAnsi="宋体" w:eastAsia="仿宋_GB2312"/>
                <w:color w:val="auto"/>
                <w:sz w:val="18"/>
                <w:szCs w:val="18"/>
                <w:lang w:val="en-US" w:eastAsia="zh-CN"/>
              </w:rPr>
              <w:t>1年</w:t>
            </w:r>
          </w:p>
        </w:tc>
        <w:tc>
          <w:tcPr>
            <w:tcW w:w="1090" w:type="pct"/>
            <w:noWrap w:val="0"/>
            <w:vAlign w:val="center"/>
          </w:tcPr>
          <w:p w14:paraId="695BC93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eastAsia="仿宋_GB2312"/>
                <w:color w:val="auto"/>
                <w:kern w:val="2"/>
                <w:sz w:val="18"/>
                <w:szCs w:val="18"/>
                <w:lang w:val="en-US" w:eastAsia="zh-CN" w:bidi="ar-SA"/>
              </w:rPr>
            </w:pPr>
            <w:r>
              <w:rPr>
                <w:rFonts w:hint="eastAsia" w:ascii="仿宋_GB2312" w:hAnsi="仿宋_GB2312" w:eastAsia="仿宋_GB2312"/>
                <w:color w:val="auto"/>
                <w:sz w:val="18"/>
                <w:szCs w:val="18"/>
                <w:lang w:eastAsia="zh-CN"/>
              </w:rPr>
              <w:t>评价的对象为通过佛山市工程合同与造价管理服务信息平台进行网签的</w:t>
            </w:r>
            <w:r>
              <w:rPr>
                <w:rFonts w:hint="eastAsia" w:ascii="仿宋_GB2312" w:hAnsi="宋体" w:eastAsia="仿宋_GB2312"/>
                <w:color w:val="auto"/>
                <w:spacing w:val="-6"/>
                <w:sz w:val="18"/>
                <w:szCs w:val="18"/>
                <w:lang w:eastAsia="zh-CN"/>
              </w:rPr>
              <w:t>企业</w:t>
            </w:r>
          </w:p>
        </w:tc>
        <w:tc>
          <w:tcPr>
            <w:tcW w:w="374" w:type="pct"/>
            <w:noWrap w:val="0"/>
            <w:vAlign w:val="center"/>
          </w:tcPr>
          <w:p w14:paraId="424EA68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s="Times New Roman"/>
                <w:color w:val="auto"/>
                <w:sz w:val="18"/>
                <w:szCs w:val="18"/>
                <w:lang w:val="en-US" w:eastAsia="zh-CN"/>
              </w:rPr>
            </w:pPr>
            <w:r>
              <w:rPr>
                <w:rFonts w:hint="eastAsia" w:ascii="仿宋_GB2312" w:hAnsi="宋体" w:eastAsia="仿宋_GB2312" w:cs="Times New Roman"/>
                <w:color w:val="auto"/>
                <w:sz w:val="18"/>
                <w:szCs w:val="18"/>
                <w:lang w:eastAsia="zh-CN"/>
              </w:rPr>
              <w:t>建筑业企业（施工）、</w:t>
            </w:r>
          </w:p>
          <w:p w14:paraId="735C464F">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hAnsi="宋体" w:eastAsia="仿宋_GB2312"/>
                <w:color w:val="auto"/>
                <w:spacing w:val="6"/>
                <w:sz w:val="18"/>
                <w:szCs w:val="18"/>
                <w:lang w:val="en-US" w:eastAsia="zh-CN"/>
              </w:rPr>
            </w:pPr>
            <w:r>
              <w:rPr>
                <w:rFonts w:hint="eastAsia" w:ascii="仿宋_GB2312" w:hAnsi="宋体" w:eastAsia="仿宋_GB2312" w:cs="Times New Roman"/>
                <w:color w:val="auto"/>
                <w:sz w:val="18"/>
                <w:szCs w:val="18"/>
                <w:lang w:eastAsia="zh-CN"/>
              </w:rPr>
              <w:t>工程监理企业、工程勘察、设计企业，</w:t>
            </w:r>
            <w:r>
              <w:rPr>
                <w:rFonts w:hint="eastAsia" w:ascii="仿宋_GB2312" w:hAnsi="宋体" w:eastAsia="仿宋_GB2312" w:cs="Times New Roman"/>
                <w:color w:val="auto"/>
                <w:sz w:val="18"/>
                <w:szCs w:val="18"/>
                <w:lang w:val="en-US" w:eastAsia="zh-CN"/>
              </w:rPr>
              <w:t>工程造价咨询企业</w:t>
            </w:r>
          </w:p>
        </w:tc>
        <w:tc>
          <w:tcPr>
            <w:tcW w:w="622" w:type="pct"/>
            <w:noWrap w:val="0"/>
            <w:vAlign w:val="center"/>
          </w:tcPr>
          <w:p w14:paraId="4FCEA11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kern w:val="2"/>
                <w:sz w:val="18"/>
                <w:szCs w:val="18"/>
                <w:lang w:val="en-US" w:eastAsia="zh-CN" w:bidi="ar-SA"/>
              </w:rPr>
            </w:pPr>
            <w:r>
              <w:rPr>
                <w:rFonts w:hint="eastAsia" w:ascii="仿宋_GB2312" w:hAnsi="宋体" w:eastAsia="仿宋_GB2312"/>
                <w:color w:val="auto"/>
                <w:spacing w:val="6"/>
                <w:sz w:val="18"/>
                <w:szCs w:val="18"/>
                <w:lang w:eastAsia="zh-CN"/>
              </w:rPr>
              <w:t>由诚信管理平台实行自动加分</w:t>
            </w:r>
          </w:p>
        </w:tc>
      </w:tr>
      <w:tr w14:paraId="3F57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7" w:hRule="atLeast"/>
          <w:jc w:val="center"/>
        </w:trPr>
        <w:tc>
          <w:tcPr>
            <w:tcW w:w="137" w:type="pct"/>
            <w:noWrap w:val="0"/>
            <w:vAlign w:val="center"/>
          </w:tcPr>
          <w:p w14:paraId="71E3A46E">
            <w:pPr>
              <w:numPr>
                <w:ilvl w:val="0"/>
                <w:numId w:val="1"/>
              </w:numPr>
              <w:ind w:left="0" w:leftChars="0" w:firstLine="0" w:firstLineChars="0"/>
              <w:jc w:val="center"/>
              <w:rPr>
                <w:rFonts w:hint="eastAsia" w:ascii="仿宋_GB2312" w:eastAsia="仿宋_GB2312"/>
                <w:b/>
                <w:color w:val="auto"/>
                <w:kern w:val="2"/>
                <w:sz w:val="18"/>
                <w:szCs w:val="18"/>
                <w:lang w:val="en-US" w:eastAsia="zh-CN" w:bidi="ar-SA"/>
              </w:rPr>
            </w:pPr>
          </w:p>
        </w:tc>
        <w:tc>
          <w:tcPr>
            <w:tcW w:w="263" w:type="pct"/>
            <w:noWrap w:val="0"/>
            <w:vAlign w:val="center"/>
          </w:tcPr>
          <w:p w14:paraId="6362C4E9">
            <w:pPr>
              <w:jc w:val="center"/>
              <w:rPr>
                <w:rFonts w:hint="eastAsia" w:ascii="仿宋_GB2312" w:eastAsia="仿宋_GB2312"/>
                <w:b/>
                <w:color w:val="auto"/>
                <w:kern w:val="2"/>
                <w:sz w:val="18"/>
                <w:szCs w:val="18"/>
                <w:lang w:val="en-US" w:eastAsia="zh-CN" w:bidi="ar-SA"/>
              </w:rPr>
            </w:pPr>
            <w:r>
              <w:rPr>
                <w:rFonts w:hint="eastAsia" w:ascii="仿宋_GB2312" w:eastAsia="仿宋_GB2312"/>
                <w:b/>
                <w:color w:val="auto"/>
                <w:sz w:val="18"/>
                <w:szCs w:val="18"/>
                <w:lang w:val="en-US" w:eastAsia="zh-CN"/>
              </w:rPr>
              <w:t>保障农民工工资支付工作加分</w:t>
            </w:r>
          </w:p>
        </w:tc>
        <w:tc>
          <w:tcPr>
            <w:tcW w:w="415" w:type="pct"/>
            <w:noWrap w:val="0"/>
            <w:vAlign w:val="center"/>
          </w:tcPr>
          <w:p w14:paraId="3812C0A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olor w:val="auto"/>
                <w:kern w:val="2"/>
                <w:sz w:val="18"/>
                <w:szCs w:val="18"/>
                <w:lang w:val="en-US" w:eastAsia="zh-CN" w:bidi="ar-SA"/>
              </w:rPr>
            </w:pPr>
            <w:r>
              <w:rPr>
                <w:rFonts w:hint="eastAsia" w:ascii="仿宋_GB2312" w:eastAsia="仿宋_GB2312"/>
                <w:color w:val="auto"/>
                <w:sz w:val="18"/>
                <w:szCs w:val="18"/>
              </w:rPr>
              <w:t>承建房屋建筑工程</w:t>
            </w:r>
            <w:r>
              <w:rPr>
                <w:rFonts w:hint="eastAsia" w:ascii="仿宋_GB2312" w:eastAsia="仿宋_GB2312"/>
                <w:color w:val="auto"/>
                <w:sz w:val="18"/>
                <w:szCs w:val="18"/>
                <w:lang w:eastAsia="zh-CN"/>
              </w:rPr>
              <w:t>落实</w:t>
            </w:r>
            <w:r>
              <w:rPr>
                <w:rFonts w:hint="eastAsia" w:ascii="仿宋_GB2312" w:eastAsia="仿宋_GB2312"/>
                <w:color w:val="auto"/>
                <w:sz w:val="18"/>
                <w:szCs w:val="18"/>
              </w:rPr>
              <w:t>保障农民工工资支付管理工作</w:t>
            </w:r>
            <w:r>
              <w:rPr>
                <w:rFonts w:hint="eastAsia" w:ascii="仿宋_GB2312" w:eastAsia="仿宋_GB2312"/>
                <w:color w:val="auto"/>
                <w:sz w:val="18"/>
                <w:szCs w:val="18"/>
                <w:lang w:eastAsia="zh-CN"/>
              </w:rPr>
              <w:t>的</w:t>
            </w:r>
          </w:p>
        </w:tc>
        <w:tc>
          <w:tcPr>
            <w:tcW w:w="1818" w:type="pct"/>
            <w:gridSpan w:val="2"/>
            <w:noWrap w:val="0"/>
            <w:vAlign w:val="center"/>
          </w:tcPr>
          <w:p w14:paraId="5C22B08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sz w:val="18"/>
                <w:szCs w:val="18"/>
              </w:rPr>
            </w:pPr>
          </w:p>
          <w:p w14:paraId="4D2BFCC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2"/>
                <w:sz w:val="18"/>
                <w:szCs w:val="18"/>
                <w:lang w:val="en-US" w:eastAsia="zh-CN" w:bidi="ar-SA"/>
              </w:rPr>
              <w:t>1.参加保障农民工工资支付管理交底培训学习的，加1分（每项目限加1次）；</w:t>
            </w:r>
          </w:p>
          <w:p w14:paraId="7C4637E0">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2"/>
                <w:sz w:val="18"/>
                <w:szCs w:val="18"/>
                <w:lang w:val="en-US" w:eastAsia="zh-CN" w:bidi="ar-SA"/>
              </w:rPr>
              <w:t>2.项目落实用工实名制管理、工人工资支付专项账户管理和工资支付保证金等制度，管理资料完善，未发生劳资纠纷的：承建的，加4分；参建的，加2分；（每项目每年度限加1次）；</w:t>
            </w:r>
          </w:p>
          <w:p w14:paraId="19F35E6B">
            <w:pPr>
              <w:pStyle w:val="6"/>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2"/>
                <w:sz w:val="18"/>
                <w:szCs w:val="18"/>
                <w:lang w:val="en-US" w:eastAsia="zh-CN" w:bidi="ar-SA"/>
              </w:rPr>
              <w:t>3.参加市房屋建筑工程领域农民工工资纠纷诉源治理工作提供较大支持的，每个企业每年度限加一次，每次加3～5分，具体详见工作方案。</w:t>
            </w:r>
          </w:p>
          <w:p w14:paraId="773842B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hAnsi="仿宋_GB2312" w:cs="仿宋_GB2312"/>
                <w:color w:val="auto"/>
                <w:sz w:val="18"/>
                <w:szCs w:val="18"/>
                <w:lang w:val="en-US" w:eastAsia="zh-CN"/>
              </w:rPr>
            </w:pPr>
          </w:p>
        </w:tc>
        <w:tc>
          <w:tcPr>
            <w:tcW w:w="276" w:type="pct"/>
            <w:noWrap w:val="0"/>
            <w:vAlign w:val="center"/>
          </w:tcPr>
          <w:p w14:paraId="2D6CA1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宋体" w:eastAsia="仿宋_GB2312"/>
                <w:color w:val="auto"/>
                <w:kern w:val="2"/>
                <w:sz w:val="18"/>
                <w:szCs w:val="18"/>
                <w:lang w:val="en-US" w:eastAsia="zh-CN" w:bidi="ar-SA"/>
              </w:rPr>
            </w:pPr>
            <w:r>
              <w:rPr>
                <w:rFonts w:hint="eastAsia" w:ascii="仿宋_GB2312" w:eastAsia="仿宋_GB2312"/>
                <w:color w:val="auto"/>
                <w:sz w:val="18"/>
                <w:szCs w:val="18"/>
              </w:rPr>
              <w:t>1年</w:t>
            </w:r>
          </w:p>
        </w:tc>
        <w:tc>
          <w:tcPr>
            <w:tcW w:w="1090" w:type="pct"/>
            <w:noWrap w:val="0"/>
            <w:vAlign w:val="center"/>
          </w:tcPr>
          <w:p w14:paraId="54B715E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hAnsi="宋体" w:eastAsia="仿宋_GB2312" w:cs="Times New Roman"/>
                <w:color w:val="auto"/>
                <w:kern w:val="2"/>
                <w:sz w:val="18"/>
                <w:szCs w:val="18"/>
                <w:u w:val="none"/>
                <w:lang w:val="en-US" w:eastAsia="zh-CN" w:bidi="ar-SA"/>
              </w:rPr>
            </w:pPr>
            <w:r>
              <w:rPr>
                <w:rFonts w:hint="eastAsia" w:ascii="仿宋_GB2312" w:hAnsi="宋体" w:eastAsia="仿宋_GB2312" w:cs="Times New Roman"/>
                <w:color w:val="auto"/>
                <w:kern w:val="2"/>
                <w:sz w:val="18"/>
                <w:szCs w:val="18"/>
                <w:u w:val="none"/>
                <w:lang w:val="en-US" w:eastAsia="zh-CN" w:bidi="ar-SA"/>
              </w:rPr>
              <w:t>1.参加保障农民工工资支付管理交底培训学习的，需为市住房城乡建设主管部门组织，由市房屋建筑工程领域农民工工资纠纷诉源治理工作站提供佐证材料，经市住房城乡建设主管部门核实确认；</w:t>
            </w:r>
          </w:p>
          <w:p w14:paraId="04DFF50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hAnsi="宋体" w:eastAsia="仿宋_GB2312" w:cs="Times New Roman"/>
                <w:color w:val="auto"/>
                <w:kern w:val="2"/>
                <w:sz w:val="18"/>
                <w:szCs w:val="18"/>
                <w:u w:val="none"/>
                <w:lang w:val="en-US" w:eastAsia="zh-CN" w:bidi="ar-SA"/>
              </w:rPr>
            </w:pPr>
            <w:r>
              <w:rPr>
                <w:rFonts w:hint="eastAsia" w:ascii="仿宋_GB2312" w:hAnsi="宋体" w:eastAsia="仿宋_GB2312" w:cs="Times New Roman"/>
                <w:color w:val="auto"/>
                <w:kern w:val="2"/>
                <w:sz w:val="18"/>
                <w:szCs w:val="18"/>
                <w:u w:val="none"/>
                <w:lang w:val="en-US" w:eastAsia="zh-CN" w:bidi="ar-SA"/>
              </w:rPr>
              <w:t>2.项目落实用工实名制管理、工人工资支付专项账户管理和工资支付保证金等制度，管理资料完善，未发生劳资纠纷的，需经区住房城乡建设主管部门确认并通报；市房屋建筑工程领域农民工工资纠纷诉源治理工作站提供佐证材料可供各区住房城乡建设主管部门参考；如发生拖欠农民工工资的，已取得的加分予以撤回，并按有关规定进行扣分处理；</w:t>
            </w:r>
          </w:p>
          <w:p w14:paraId="75CB958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hAnsi="宋体" w:eastAsia="仿宋_GB2312" w:cs="Times New Roman"/>
                <w:color w:val="auto"/>
                <w:kern w:val="2"/>
                <w:sz w:val="18"/>
                <w:szCs w:val="18"/>
                <w:u w:val="none"/>
                <w:lang w:val="en-US" w:eastAsia="zh-CN" w:bidi="ar-SA"/>
              </w:rPr>
            </w:pPr>
            <w:r>
              <w:rPr>
                <w:rFonts w:hint="eastAsia" w:ascii="仿宋_GB2312" w:hAnsi="宋体" w:eastAsia="仿宋_GB2312" w:cs="Times New Roman"/>
                <w:color w:val="auto"/>
                <w:kern w:val="2"/>
                <w:sz w:val="18"/>
                <w:szCs w:val="18"/>
                <w:u w:val="none"/>
                <w:lang w:val="en-US" w:eastAsia="zh-CN" w:bidi="ar-SA"/>
              </w:rPr>
              <w:t>3.参加市房屋建筑工程领域农民工工资纠纷诉源治理工作提供较大支持的，需制定工作方案。该工作方案和工作开展情况需由相关成员单位共同确认，并向行业公开后方可实施；符合规定的，方可进行加分；</w:t>
            </w:r>
          </w:p>
          <w:p w14:paraId="63BC9AD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color w:val="auto"/>
                <w:sz w:val="18"/>
                <w:szCs w:val="18"/>
                <w:lang w:val="en-US" w:eastAsia="zh-CN"/>
              </w:rPr>
            </w:pPr>
            <w:r>
              <w:rPr>
                <w:rFonts w:hint="eastAsia" w:ascii="仿宋_GB2312" w:hAnsi="宋体" w:eastAsia="仿宋_GB2312" w:cs="Times New Roman"/>
                <w:color w:val="auto"/>
                <w:kern w:val="2"/>
                <w:sz w:val="18"/>
                <w:szCs w:val="18"/>
                <w:u w:val="none"/>
                <w:lang w:val="en-US" w:eastAsia="zh-CN" w:bidi="ar-SA"/>
              </w:rPr>
              <w:t>4.保障农民工工资支付管理工作表现优秀的，获得市住房城乡建设主管部门或省级有关部门通报的，可参照“通报表扬”加分类型执行</w:t>
            </w:r>
          </w:p>
        </w:tc>
        <w:tc>
          <w:tcPr>
            <w:tcW w:w="374" w:type="pct"/>
            <w:noWrap w:val="0"/>
            <w:vAlign w:val="center"/>
          </w:tcPr>
          <w:p w14:paraId="7BAF46A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lang w:eastAsia="zh-CN"/>
              </w:rPr>
            </w:pPr>
            <w:r>
              <w:rPr>
                <w:rFonts w:hint="eastAsia" w:ascii="仿宋_GB2312" w:hAnsi="宋体" w:eastAsia="仿宋_GB2312"/>
                <w:color w:val="auto"/>
                <w:sz w:val="18"/>
                <w:szCs w:val="18"/>
                <w:lang w:eastAsia="zh-CN"/>
              </w:rPr>
              <w:t>建筑业企业（施工）、</w:t>
            </w:r>
            <w:r>
              <w:rPr>
                <w:rFonts w:hint="eastAsia" w:ascii="仿宋_GB2312" w:hAnsi="宋体" w:eastAsia="仿宋_GB2312" w:cs="Times New Roman"/>
                <w:color w:val="auto"/>
                <w:sz w:val="18"/>
                <w:szCs w:val="18"/>
                <w:lang w:eastAsia="zh-CN"/>
              </w:rPr>
              <w:t>工程监理企业</w:t>
            </w:r>
          </w:p>
          <w:p w14:paraId="6A8C693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z w:val="18"/>
                <w:szCs w:val="18"/>
              </w:rPr>
            </w:pPr>
          </w:p>
        </w:tc>
        <w:tc>
          <w:tcPr>
            <w:tcW w:w="622" w:type="pct"/>
            <w:noWrap w:val="0"/>
            <w:vAlign w:val="center"/>
          </w:tcPr>
          <w:p w14:paraId="5DDACFB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宋体" w:eastAsia="仿宋_GB2312"/>
                <w:color w:val="auto"/>
                <w:spacing w:val="6"/>
                <w:kern w:val="2"/>
                <w:sz w:val="18"/>
                <w:szCs w:val="18"/>
                <w:lang w:val="en-US" w:eastAsia="zh-CN" w:bidi="ar-SA"/>
              </w:rPr>
            </w:pPr>
            <w:r>
              <w:rPr>
                <w:rFonts w:hint="eastAsia" w:ascii="仿宋_GB2312" w:eastAsia="仿宋_GB2312"/>
                <w:color w:val="auto"/>
                <w:sz w:val="18"/>
                <w:szCs w:val="18"/>
                <w:lang w:eastAsia="zh-CN"/>
              </w:rPr>
              <w:t>由市、区住房城乡建设主管部门负责登记</w:t>
            </w:r>
          </w:p>
        </w:tc>
      </w:tr>
    </w:tbl>
    <w:p w14:paraId="0488DBB5">
      <w:pPr>
        <w:pStyle w:val="2"/>
        <w:keepNext w:val="0"/>
        <w:keepLines w:val="0"/>
        <w:pageBreakBefore w:val="0"/>
        <w:widowControl w:val="0"/>
        <w:kinsoku/>
        <w:wordWrap/>
        <w:overflowPunct/>
        <w:topLinePunct w:val="0"/>
        <w:autoSpaceDE/>
        <w:autoSpaceDN/>
        <w:bidi w:val="0"/>
        <w:adjustRightInd/>
        <w:snapToGrid/>
        <w:spacing w:after="0" w:afterLines="0" w:line="500" w:lineRule="exact"/>
        <w:ind w:left="0" w:leftChars="0" w:firstLine="0" w:firstLineChars="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备注：</w:t>
      </w:r>
    </w:p>
    <w:p w14:paraId="5C20F18F">
      <w:pPr>
        <w:pStyle w:val="2"/>
        <w:keepNext w:val="0"/>
        <w:keepLines w:val="0"/>
        <w:pageBreakBefore w:val="0"/>
        <w:widowControl w:val="0"/>
        <w:kinsoku/>
        <w:wordWrap/>
        <w:overflowPunct/>
        <w:topLinePunct w:val="0"/>
        <w:autoSpaceDE/>
        <w:autoSpaceDN/>
        <w:bidi w:val="0"/>
        <w:adjustRightInd/>
        <w:snapToGrid/>
        <w:spacing w:after="0" w:afterLines="0" w:line="500" w:lineRule="exact"/>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适用对象为“所有企业类别”，是指以下罗列企业范围，符合条件的，均可进行诚信加分：</w:t>
      </w:r>
    </w:p>
    <w:p w14:paraId="0020A416">
      <w:pPr>
        <w:pStyle w:val="2"/>
        <w:keepNext w:val="0"/>
        <w:keepLines w:val="0"/>
        <w:pageBreakBefore w:val="0"/>
        <w:widowControl w:val="0"/>
        <w:kinsoku/>
        <w:wordWrap/>
        <w:overflowPunct/>
        <w:topLinePunct w:val="0"/>
        <w:autoSpaceDE/>
        <w:autoSpaceDN/>
        <w:bidi w:val="0"/>
        <w:adjustRightInd/>
        <w:snapToGrid/>
        <w:spacing w:after="0" w:afterLines="0" w:line="500" w:lineRule="exact"/>
        <w:ind w:left="0" w:leftChars="0" w:firstLine="600" w:firstLineChars="200"/>
        <w:jc w:val="both"/>
        <w:textAlignment w:val="auto"/>
        <w:rPr>
          <w:rFonts w:hint="eastAsia"/>
          <w:sz w:val="30"/>
          <w:szCs w:val="30"/>
          <w:lang w:val="en-US" w:eastAsia="zh-CN"/>
        </w:rPr>
      </w:pPr>
      <w:r>
        <w:rPr>
          <w:rFonts w:hint="eastAsia" w:ascii="仿宋_GB2312" w:hAnsi="仿宋_GB2312" w:eastAsia="仿宋_GB2312" w:cs="仿宋_GB2312"/>
          <w:color w:val="auto"/>
          <w:kern w:val="2"/>
          <w:sz w:val="30"/>
          <w:szCs w:val="30"/>
          <w:lang w:val="en-US" w:eastAsia="zh-CN" w:bidi="ar-SA"/>
        </w:rPr>
        <w:t>建筑业企业（分施工和劳务两类），工程监理企业，工程勘察、设计企业，工程造价咨询企业，施工图审查机构，人民防空工程防护设备定点生产和安装企业，人民防空工程防护设备检测机构，消防设施检测机构，深基坑第三方监测企业，预拌混凝土（砂浆）生产企业，建筑工程质量检测机构，建筑起重机械设备安全检测机构，市场化代建单位。</w:t>
      </w:r>
    </w:p>
    <w:sectPr>
      <w:footerReference r:id="rId3" w:type="default"/>
      <w:pgSz w:w="16838" w:h="11906" w:orient="landscape"/>
      <w:pgMar w:top="1134" w:right="1474" w:bottom="1134" w:left="1474" w:header="851" w:footer="935"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966C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A851F">
                          <w:pPr>
                            <w:pStyle w:val="7"/>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fldChar w:fldCharType="begin"/>
                          </w:r>
                          <w:r>
                            <w:rPr>
                              <w:rFonts w:hint="eastAsia" w:ascii="Times New Roman" w:hAnsi="Times New Roman" w:cs="Times New Roman"/>
                              <w:sz w:val="28"/>
                              <w:szCs w:val="28"/>
                              <w:lang w:eastAsia="zh-CN"/>
                            </w:rPr>
                            <w:instrText xml:space="preserve"> PAGE  \* MERGEFORMAT </w:instrText>
                          </w:r>
                          <w:r>
                            <w:rPr>
                              <w:rFonts w:hint="eastAsia" w:ascii="Times New Roman" w:hAnsi="Times New Roman" w:cs="Times New Roman"/>
                              <w:sz w:val="28"/>
                              <w:szCs w:val="28"/>
                              <w:lang w:eastAsia="zh-CN"/>
                            </w:rPr>
                            <w:fldChar w:fldCharType="separate"/>
                          </w:r>
                          <w:r>
                            <w:rPr>
                              <w:rFonts w:hint="eastAsia" w:ascii="Times New Roman" w:hAnsi="Times New Roman" w:cs="Times New Roman"/>
                              <w:sz w:val="28"/>
                              <w:szCs w:val="28"/>
                              <w:lang w:eastAsia="zh-CN"/>
                            </w:rPr>
                            <w:t>1</w:t>
                          </w:r>
                          <w:r>
                            <w:rPr>
                              <w:rFonts w:hint="eastAsia"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2A851F">
                    <w:pPr>
                      <w:pStyle w:val="7"/>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fldChar w:fldCharType="begin"/>
                    </w:r>
                    <w:r>
                      <w:rPr>
                        <w:rFonts w:hint="eastAsia" w:ascii="Times New Roman" w:hAnsi="Times New Roman" w:cs="Times New Roman"/>
                        <w:sz w:val="28"/>
                        <w:szCs w:val="28"/>
                        <w:lang w:eastAsia="zh-CN"/>
                      </w:rPr>
                      <w:instrText xml:space="preserve"> PAGE  \* MERGEFORMAT </w:instrText>
                    </w:r>
                    <w:r>
                      <w:rPr>
                        <w:rFonts w:hint="eastAsia" w:ascii="Times New Roman" w:hAnsi="Times New Roman" w:cs="Times New Roman"/>
                        <w:sz w:val="28"/>
                        <w:szCs w:val="28"/>
                        <w:lang w:eastAsia="zh-CN"/>
                      </w:rPr>
                      <w:fldChar w:fldCharType="separate"/>
                    </w:r>
                    <w:r>
                      <w:rPr>
                        <w:rFonts w:hint="eastAsia" w:ascii="Times New Roman" w:hAnsi="Times New Roman" w:cs="Times New Roman"/>
                        <w:sz w:val="28"/>
                        <w:szCs w:val="28"/>
                        <w:lang w:eastAsia="zh-CN"/>
                      </w:rPr>
                      <w:t>1</w:t>
                    </w:r>
                    <w:r>
                      <w:rPr>
                        <w:rFonts w:hint="eastAsia"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96B59"/>
    <w:multiLevelType w:val="singleLevel"/>
    <w:tmpl w:val="91496B59"/>
    <w:lvl w:ilvl="0" w:tentative="0">
      <w:start w:val="1"/>
      <w:numFmt w:val="decimal"/>
      <w:suff w:val="nothing"/>
      <w:lvlText w:val="%1"/>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11597A"/>
    <w:rsid w:val="00B37F75"/>
    <w:rsid w:val="065361A4"/>
    <w:rsid w:val="1A13407F"/>
    <w:rsid w:val="1B3E13BF"/>
    <w:rsid w:val="1F44251E"/>
    <w:rsid w:val="1F5213F2"/>
    <w:rsid w:val="2F294C45"/>
    <w:rsid w:val="3F2F46E4"/>
    <w:rsid w:val="3FCE1585"/>
    <w:rsid w:val="432151A6"/>
    <w:rsid w:val="4908320B"/>
    <w:rsid w:val="4B3621F1"/>
    <w:rsid w:val="4FED7EBA"/>
    <w:rsid w:val="560E7A1E"/>
    <w:rsid w:val="5C7A674A"/>
    <w:rsid w:val="5FAE5D89"/>
    <w:rsid w:val="60077E32"/>
    <w:rsid w:val="601F224B"/>
    <w:rsid w:val="6311597A"/>
    <w:rsid w:val="67081797"/>
    <w:rsid w:val="67F5111B"/>
    <w:rsid w:val="68D1321A"/>
    <w:rsid w:val="72BA5368"/>
    <w:rsid w:val="752B5883"/>
    <w:rsid w:val="75CA0CCD"/>
    <w:rsid w:val="7AD61FD9"/>
    <w:rsid w:val="7BF78B31"/>
    <w:rsid w:val="7F3D008E"/>
    <w:rsid w:val="9FDD8EC9"/>
    <w:rsid w:val="9FDE8E50"/>
    <w:rsid w:val="B7AFA073"/>
    <w:rsid w:val="CBAE0EC2"/>
    <w:rsid w:val="CEFFAC1B"/>
    <w:rsid w:val="DB9E6B3E"/>
    <w:rsid w:val="FBBAD60A"/>
    <w:rsid w:val="FBD7D6D0"/>
    <w:rsid w:val="FD5F7D32"/>
    <w:rsid w:val="FDF56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qFormat/>
    <w:uiPriority w:val="0"/>
    <w:pPr>
      <w:tabs>
        <w:tab w:val="left" w:pos="900"/>
      </w:tabs>
      <w:ind w:firstLine="420"/>
    </w:pPr>
    <w:rPr>
      <w:rFonts w:ascii="Times New Roman" w:hAnsi="Times New Roman"/>
    </w:rPr>
  </w:style>
  <w:style w:type="paragraph" w:customStyle="1" w:styleId="3">
    <w:name w:val="Body Text Indent"/>
    <w:basedOn w:val="4"/>
    <w:qFormat/>
    <w:uiPriority w:val="0"/>
    <w:pPr>
      <w:spacing w:after="120" w:afterLines="0"/>
      <w:ind w:left="420" w:leftChars="200"/>
    </w:pPr>
  </w:style>
  <w:style w:type="paragraph" w:customStyle="1" w:styleId="4">
    <w:name w:val="正文 New New New New New New New New New New New New New New New New New"/>
    <w:next w:val="5"/>
    <w:qFormat/>
    <w:uiPriority w:val="0"/>
    <w:pPr>
      <w:widowControl w:val="0"/>
      <w:jc w:val="both"/>
    </w:pPr>
    <w:rPr>
      <w:rFonts w:ascii="Times New Roman" w:hAnsi="Times New Roman" w:eastAsia="宋体" w:cs="黑体"/>
      <w:kern w:val="2"/>
      <w:sz w:val="21"/>
      <w:szCs w:val="22"/>
      <w:lang w:val="en-US" w:eastAsia="zh-CN"/>
    </w:rPr>
  </w:style>
  <w:style w:type="paragraph" w:customStyle="1" w:styleId="5">
    <w:name w:val="Body Text First Indent 2"/>
    <w:basedOn w:val="3"/>
    <w:qFormat/>
    <w:uiPriority w:val="0"/>
    <w:pPr>
      <w:spacing w:before="100" w:beforeLines="0" w:beforeAutospacing="1" w:after="0" w:afterLines="0"/>
      <w:ind w:firstLine="420" w:firstLineChars="200"/>
    </w:pPr>
  </w:style>
  <w:style w:type="paragraph" w:styleId="6">
    <w:name w:val="Body Text"/>
    <w:basedOn w:val="1"/>
    <w:qFormat/>
    <w:uiPriority w:val="0"/>
    <w:rPr>
      <w:rFonts w:ascii="FangSong_GB2312" w:eastAsia="FangSong_GB2312"/>
      <w:sz w:val="28"/>
      <w:szCs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2">
    <w:name w:val="FollowedHyperlink"/>
    <w:basedOn w:val="11"/>
    <w:qFormat/>
    <w:uiPriority w:val="0"/>
    <w:rPr>
      <w:color w:val="333333"/>
      <w:u w:val="none"/>
    </w:rPr>
  </w:style>
  <w:style w:type="character" w:styleId="13">
    <w:name w:val="Hyperlink"/>
    <w:basedOn w:val="11"/>
    <w:qFormat/>
    <w:uiPriority w:val="0"/>
    <w:rPr>
      <w:color w:val="333333"/>
      <w:u w:val="none"/>
    </w:rPr>
  </w:style>
  <w:style w:type="character" w:customStyle="1" w:styleId="14">
    <w:name w:val="article-icon"/>
    <w:basedOn w:val="11"/>
    <w:qFormat/>
    <w:uiPriority w:val="0"/>
  </w:style>
  <w:style w:type="character" w:customStyle="1" w:styleId="15">
    <w:name w:val="hover11"/>
    <w:basedOn w:val="11"/>
    <w:qFormat/>
    <w:uiPriority w:val="0"/>
    <w:rPr>
      <w:shd w:val="clear" w:fill="92929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佛山市住房和城乡建设局</Company>
  <Pages>4</Pages>
  <Words>2876</Words>
  <Characters>2917</Characters>
  <Lines>0</Lines>
  <Paragraphs>0</Paragraphs>
  <TotalTime>20</TotalTime>
  <ScaleCrop>false</ScaleCrop>
  <LinksUpToDate>false</LinksUpToDate>
  <CharactersWithSpaces>2918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2024-06-23T02:12:00Z</dcterms:created>
  <dc:creator>陈天德</dc:creator>
  <cp:lastModifiedBy>李</cp:lastModifiedBy>
  <dcterms:modified xsi:type="dcterms:W3CDTF">2024-12-26T18:24:32Z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6127C34E65714CC691DA0276B9360DAD_13</vt:lpwstr>
  </property>
  <property fmtid="{D5CDD505-2E9C-101B-9397-08002B2CF9AE}" pid="4" name="KSOTemplateDocerSaveRecord">
    <vt:lpwstr>eyJoZGlkIjoiODViY2JkMjU3NGYzZTEwMzZmMGFkZWViYmNkYWU3NDIiLCJ1c2VySWQiOiI0NTY5NjgxMTgifQ==</vt:lpwstr>
  </property>
</Properties>
</file>